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12" w:space="9"/>
        </w:pBdr>
        <w:jc w:val="center"/>
        <w:outlineLvl w:val="0"/>
        <w:rPr>
          <w:rFonts w:eastAsia="Calibri"/>
          <w:b/>
          <w:sz w:val="24"/>
          <w:szCs w:val="24"/>
          <w:lang w:eastAsia="en-US"/>
        </w:rPr>
      </w:pPr>
      <w:bookmarkStart w:id="0" w:name="_Ref521726698"/>
      <w:bookmarkEnd w:id="0"/>
      <w:r>
        <w:rPr>
          <w:b/>
          <w:sz w:val="24"/>
          <w:szCs w:val="24"/>
        </w:rPr>
        <w:t>НАЦИОНАЛЬНЫЙ СТАНДАРТ РЕСПУБЛИКИ КАЗАХСТАН</w:t>
      </w:r>
    </w:p>
    <w:p>
      <w:pPr>
        <w:pBdr>
          <w:bottom w:val="single" w:color="auto" w:sz="12" w:space="0"/>
        </w:pBdr>
        <w:tabs>
          <w:tab w:val="left" w:pos="4125"/>
        </w:tabs>
        <w:jc w:val="center"/>
        <w:rPr>
          <w:rFonts w:hint="default" w:ascii="Times New Roman" w:hAnsi="Times New Roman" w:cs="Times New Roman"/>
          <w:b/>
          <w:bCs/>
          <w:sz w:val="28"/>
          <w:szCs w:val="28"/>
          <w:lang w:val="ru-RU"/>
        </w:rPr>
      </w:pPr>
      <w:r>
        <w:rPr>
          <w:rFonts w:hint="default" w:ascii="Times New Roman" w:hAnsi="Times New Roman" w:eastAsia="SimSun"/>
          <w:b/>
          <w:bCs/>
          <w:i w:val="0"/>
          <w:iCs w:val="0"/>
          <w:caps w:val="0"/>
          <w:color w:val="000000"/>
          <w:spacing w:val="0"/>
          <w:sz w:val="28"/>
          <w:szCs w:val="28"/>
        </w:rPr>
        <w:t>Требования безопасности к установкам канатных дорог, предназначенным для перевозки людей — Расчеты</w:t>
      </w:r>
    </w:p>
    <w:p>
      <w:pPr>
        <w:jc w:val="right"/>
        <w:outlineLvl w:val="0"/>
        <w:rPr>
          <w:b/>
          <w:sz w:val="24"/>
          <w:szCs w:val="24"/>
        </w:rPr>
      </w:pPr>
      <w:r>
        <w:rPr>
          <w:b/>
          <w:sz w:val="24"/>
          <w:szCs w:val="24"/>
        </w:rPr>
        <w:t xml:space="preserve"> Дата введения __________</w:t>
      </w:r>
    </w:p>
    <w:p>
      <w:pPr>
        <w:pStyle w:val="89"/>
        <w:widowControl/>
        <w:ind w:firstLine="567"/>
        <w:jc w:val="both"/>
        <w:rPr>
          <w:rStyle w:val="175"/>
          <w:rFonts w:ascii="Times New Roman" w:hAnsi="Times New Roman" w:cs="Times New Roman"/>
          <w:bCs/>
          <w:sz w:val="24"/>
          <w:lang w:eastAsia="en-US"/>
        </w:rPr>
      </w:pPr>
      <w:r>
        <w:rPr>
          <w:rFonts w:ascii="Times New Roman" w:hAnsi="Times New Roman" w:cs="Times New Roman"/>
          <w:b/>
          <w:caps/>
        </w:rPr>
        <w:t xml:space="preserve"> </w:t>
      </w:r>
    </w:p>
    <w:p>
      <w:pPr>
        <w:pStyle w:val="89"/>
        <w:widowControl/>
        <w:ind w:firstLine="567"/>
        <w:jc w:val="both"/>
        <w:rPr>
          <w:sz w:val="24"/>
          <w:szCs w:val="24"/>
        </w:rPr>
      </w:pPr>
      <w:r>
        <w:rPr>
          <w:rStyle w:val="175"/>
          <w:rFonts w:ascii="Times New Roman" w:hAnsi="Times New Roman" w:cs="Times New Roman"/>
          <w:bCs/>
          <w:sz w:val="24"/>
          <w:lang w:eastAsia="en-US"/>
        </w:rPr>
        <w:t xml:space="preserve"> 1 Область применения</w:t>
      </w:r>
    </w:p>
    <w:p>
      <w:pPr>
        <w:ind w:firstLine="567"/>
        <w:jc w:val="both"/>
        <w:rPr>
          <w:rFonts w:hint="default" w:ascii="Times New Roman" w:hAnsi="Times New Roman" w:eastAsia="SimSun" w:cs="Times New Roman"/>
          <w:sz w:val="24"/>
          <w:szCs w:val="24"/>
        </w:rPr>
      </w:pP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Настоящий стандарт устанавливает общие требования безопасности, применимые к расчетам для канатных дорог, предназначенных для перевозки людей. Этот документ применим к различным типам канатных дорог и учитывает их окружающую среду.</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Он содержит:</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i w:val="0"/>
          <w:iCs w:val="0"/>
          <w:caps w:val="0"/>
          <w:color w:val="000000"/>
          <w:spacing w:val="0"/>
          <w:sz w:val="24"/>
          <w:szCs w:val="24"/>
          <w:lang w:val="ru-RU"/>
        </w:rPr>
        <w:t>-</w:t>
      </w:r>
      <w:r>
        <w:rPr>
          <w:rFonts w:hint="default" w:ascii="Times New Roman" w:hAnsi="Times New Roman" w:eastAsia="SimSun"/>
          <w:i w:val="0"/>
          <w:iCs w:val="0"/>
          <w:caps w:val="0"/>
          <w:color w:val="000000"/>
          <w:spacing w:val="0"/>
          <w:sz w:val="24"/>
          <w:szCs w:val="24"/>
        </w:rPr>
        <w:t>общие требования к расчетам и их представлению;</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i w:val="0"/>
          <w:iCs w:val="0"/>
          <w:caps w:val="0"/>
          <w:color w:val="000000"/>
          <w:spacing w:val="0"/>
          <w:sz w:val="24"/>
          <w:szCs w:val="24"/>
          <w:lang w:val="ru-RU"/>
        </w:rPr>
        <w:t>-</w:t>
      </w:r>
      <w:r>
        <w:rPr>
          <w:rFonts w:hint="default" w:ascii="Times New Roman" w:hAnsi="Times New Roman" w:eastAsia="SimSun"/>
          <w:i w:val="0"/>
          <w:iCs w:val="0"/>
          <w:caps w:val="0"/>
          <w:color w:val="000000"/>
          <w:spacing w:val="0"/>
          <w:sz w:val="24"/>
          <w:szCs w:val="24"/>
        </w:rPr>
        <w:t>общие требования, касающиеся действий, которые должны приниматься во внимание при расчете компонентов в качестве основы для требований стандартов EN 13223, EN 13107, EN 12927 (все части) и EN 1908;</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i w:val="0"/>
          <w:iCs w:val="0"/>
          <w:caps w:val="0"/>
          <w:color w:val="000000"/>
          <w:spacing w:val="0"/>
          <w:sz w:val="24"/>
          <w:szCs w:val="24"/>
          <w:lang w:val="ru-RU"/>
        </w:rPr>
        <w:t>-</w:t>
      </w:r>
      <w:r>
        <w:rPr>
          <w:rFonts w:hint="default" w:ascii="Times New Roman" w:hAnsi="Times New Roman" w:eastAsia="SimSun"/>
          <w:i w:val="0"/>
          <w:iCs w:val="0"/>
          <w:caps w:val="0"/>
          <w:color w:val="000000"/>
          <w:spacing w:val="0"/>
          <w:sz w:val="24"/>
          <w:szCs w:val="24"/>
        </w:rPr>
        <w:t>требования , касающиеся проверки канатов путем расчета;</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i w:val="0"/>
          <w:iCs w:val="0"/>
          <w:caps w:val="0"/>
          <w:color w:val="000000"/>
          <w:spacing w:val="0"/>
          <w:sz w:val="24"/>
          <w:szCs w:val="24"/>
          <w:lang w:val="ru-RU"/>
        </w:rPr>
        <w:t>-</w:t>
      </w:r>
      <w:r>
        <w:rPr>
          <w:rFonts w:hint="default" w:ascii="Times New Roman" w:hAnsi="Times New Roman" w:eastAsia="SimSun"/>
          <w:i w:val="0"/>
          <w:iCs w:val="0"/>
          <w:caps w:val="0"/>
          <w:color w:val="000000"/>
          <w:spacing w:val="0"/>
          <w:sz w:val="24"/>
          <w:szCs w:val="24"/>
        </w:rPr>
        <w:t>требования , касающиеся определения мощности привода;</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i w:val="0"/>
          <w:iCs w:val="0"/>
          <w:caps w:val="0"/>
          <w:color w:val="000000"/>
          <w:spacing w:val="0"/>
          <w:sz w:val="24"/>
          <w:szCs w:val="24"/>
          <w:lang w:val="ru-RU"/>
        </w:rPr>
        <w:t>-</w:t>
      </w:r>
      <w:r>
        <w:rPr>
          <w:rFonts w:hint="default" w:ascii="Times New Roman" w:hAnsi="Times New Roman" w:eastAsia="SimSun"/>
          <w:i w:val="0"/>
          <w:iCs w:val="0"/>
          <w:caps w:val="0"/>
          <w:color w:val="000000"/>
          <w:spacing w:val="0"/>
          <w:sz w:val="24"/>
          <w:szCs w:val="24"/>
        </w:rPr>
        <w:t>требования к воздействию канатов и держателей на опорные конструкции и к деформациям этих опорных конструкций.</w:t>
      </w:r>
    </w:p>
    <w:p>
      <w:pPr>
        <w:pStyle w:val="89"/>
        <w:widowControl/>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Это не относится ни к установкам для перевозки грузов, ни к лифтам.</w:t>
      </w:r>
    </w:p>
    <w:p>
      <w:pPr>
        <w:pStyle w:val="89"/>
        <w:widowControl/>
        <w:ind w:firstLine="567"/>
        <w:jc w:val="both"/>
        <w:rPr>
          <w:rFonts w:ascii="Arial" w:hAnsi="Arial" w:eastAsia="SimSun" w:cs="Arial"/>
          <w:i w:val="0"/>
          <w:iCs w:val="0"/>
          <w:caps w:val="0"/>
          <w:color w:val="000000"/>
          <w:spacing w:val="0"/>
          <w:sz w:val="13"/>
          <w:szCs w:val="13"/>
        </w:rPr>
      </w:pPr>
    </w:p>
    <w:p>
      <w:pPr>
        <w:pStyle w:val="89"/>
        <w:widowControl/>
        <w:ind w:firstLine="567"/>
        <w:jc w:val="both"/>
        <w:rPr>
          <w:rStyle w:val="175"/>
          <w:rFonts w:ascii="Times New Roman" w:hAnsi="Times New Roman" w:cs="Times New Roman"/>
          <w:bCs/>
          <w:sz w:val="24"/>
          <w:lang w:eastAsia="en-US"/>
        </w:rPr>
      </w:pPr>
      <w:r>
        <w:rPr>
          <w:rStyle w:val="175"/>
          <w:rFonts w:ascii="Times New Roman" w:hAnsi="Times New Roman" w:cs="Times New Roman"/>
          <w:bCs/>
          <w:sz w:val="24"/>
          <w:lang w:eastAsia="en-US"/>
        </w:rPr>
        <w:t xml:space="preserve"> 2 Нормативные ссылки</w:t>
      </w:r>
    </w:p>
    <w:p>
      <w:pPr>
        <w:pStyle w:val="89"/>
        <w:widowControl/>
        <w:ind w:firstLine="567"/>
        <w:jc w:val="both"/>
        <w:rPr>
          <w:rStyle w:val="175"/>
          <w:rFonts w:hint="default" w:ascii="Times New Roman" w:hAnsi="Times New Roman" w:cs="Times New Roman"/>
          <w:bCs/>
          <w:sz w:val="24"/>
          <w:szCs w:val="24"/>
          <w:lang w:eastAsia="en-US"/>
        </w:rPr>
      </w:pP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2 Нормативные ссылки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Следующие документы, полностью или частично, имеют нормативные ссылки в этом документе и являются необходимыми для его применения. Для датированных ссылок применяется только цитируемое издание. Для недатированных ссылок применяется последняя редакция документа, на который дана ссылка (включая любые поправки).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1709, Требования безопасности для канатных дорог, предназначенных для перевозки людей — Проверка перед вводом в эксплуатацию, техническое обслуживание, эксплуатационный осмотр и проверки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1907, Требования безопасности для канатных дорог, предназначенных для перевозки людей — Терминология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1908, Требования безопасности к установкам канатных дорог, предназначенным для перевозки людей — Натяжные устройства</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1909, Требования безопасности к сооружениям канатной дороги, предназначенным для перевозки людей — Восстановление и эвакуация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1990, Еврокод: Основа структурного проектирования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1991-1-1, Еврокод 1: Действия в отношении конструкций — Часть 1-1: Общие действия — Плотность, собственный вес и прилагаемые нагрузки для зданий</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1991-1-4, Еврокод 1: Действия на конструкциях — Часть 1-4: Общие действия — Действия ветра</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12397, Требования безопасности для канатных дорог, предназначенных для перевозки людей — Эксплуатация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12408, Требования безопасности для канатных дорог, предназначенных для перевозки людей — Контроль качества</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12927 (все части), Требования безопасности для канатных дорог, предназначенных для перевозки людей — Канаты</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 xml:space="preserve">EN 12929 (все части), Требования безопасности для канатных дорог, предназначенных для перевозки людей — Общие требования </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13107, Требования безопасности для канатных дорог, предназначенных для перевозки людей — Строительные работы</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13223, Требования безопасности к установкам канатных дорог, предназначенным для перевозки людей — Приводные системы и другое механическое оборудование</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13243, Требования безопасности для канатных дорог, предназначенных для перевозки людей — Электрооборудование, отличное от приводных систем</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13796 (все части), Требования безопасности для канатных дорог, предназначенных для перевозки людей — перевозчиков</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p>
    <w:p>
      <w:pPr>
        <w:pStyle w:val="184"/>
        <w:ind w:left="0" w:leftChars="0" w:firstLine="602" w:firstLineChars="250"/>
        <w:jc w:val="both"/>
        <w:rPr>
          <w:rFonts w:ascii="Times New Roman" w:hAnsi="Times New Roman"/>
          <w:b/>
          <w:sz w:val="24"/>
          <w:szCs w:val="24"/>
        </w:rPr>
      </w:pPr>
      <w:r>
        <w:rPr>
          <w:rFonts w:ascii="Times New Roman" w:hAnsi="Times New Roman"/>
          <w:b/>
          <w:sz w:val="24"/>
          <w:szCs w:val="24"/>
        </w:rPr>
        <w:t xml:space="preserve">3 Термины и определения </w:t>
      </w:r>
    </w:p>
    <w:p>
      <w:pPr>
        <w:pStyle w:val="184"/>
        <w:ind w:left="0" w:leftChars="0" w:firstLine="600" w:firstLineChars="250"/>
        <w:jc w:val="both"/>
      </w:pPr>
      <w:r>
        <w:rPr>
          <w:rFonts w:hint="default" w:ascii="Times New Roman" w:hAnsi="Times New Roman" w:eastAsia="SimSun" w:cs="Times New Roman"/>
          <w:i w:val="0"/>
          <w:iCs w:val="0"/>
          <w:caps w:val="0"/>
          <w:color w:val="000000"/>
          <w:spacing w:val="0"/>
          <w:sz w:val="24"/>
          <w:szCs w:val="24"/>
        </w:rPr>
        <w:t>Для целей настоящего документа применяются термины и определения, приведенные в EN 1907, а также следующие</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ArialUnicodeMS" w:cs="Times New Roman"/>
          <w:color w:val="000000"/>
          <w:kern w:val="0"/>
          <w:sz w:val="24"/>
          <w:szCs w:val="24"/>
          <w:lang w:val="en-US" w:eastAsia="zh-CN" w:bidi="ar"/>
        </w:rPr>
        <w:t xml:space="preserve"> </w:t>
      </w:r>
    </w:p>
    <w:p>
      <w:pPr>
        <w:ind w:left="0" w:leftChars="0" w:firstLine="602" w:firstLineChars="250"/>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3.1</w:t>
      </w:r>
      <w:r>
        <w:rPr>
          <w:rFonts w:hint="default"/>
          <w:b/>
          <w:bCs/>
          <w:i w:val="0"/>
          <w:iCs w:val="0"/>
          <w:caps w:val="0"/>
          <w:color w:val="000000"/>
          <w:spacing w:val="0"/>
          <w:sz w:val="24"/>
          <w:szCs w:val="24"/>
          <w:lang w:val="ru-RU"/>
        </w:rPr>
        <w:t xml:space="preserve"> Р</w:t>
      </w:r>
      <w:r>
        <w:rPr>
          <w:rFonts w:hint="default" w:ascii="Times New Roman" w:hAnsi="Times New Roman"/>
          <w:b/>
          <w:bCs/>
          <w:i w:val="0"/>
          <w:iCs w:val="0"/>
          <w:caps w:val="0"/>
          <w:color w:val="000000"/>
          <w:spacing w:val="0"/>
          <w:sz w:val="24"/>
          <w:szCs w:val="24"/>
          <w:lang w:val="ru-RU"/>
        </w:rPr>
        <w:t xml:space="preserve">асчет каната </w:t>
      </w:r>
    </w:p>
    <w:p>
      <w:pPr>
        <w:ind w:left="0" w:leftChars="0" w:firstLine="600" w:firstLineChars="250"/>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расчет для проектирования канатов на основе сил натяжения, определенных из расчета продольного профиля</w:t>
      </w:r>
      <w:r>
        <w:rPr>
          <w:rFonts w:hint="default"/>
          <w:b w:val="0"/>
          <w:bCs w:val="0"/>
          <w:i w:val="0"/>
          <w:iCs w:val="0"/>
          <w:caps w:val="0"/>
          <w:color w:val="000000"/>
          <w:spacing w:val="0"/>
          <w:sz w:val="24"/>
          <w:szCs w:val="24"/>
          <w:lang w:val="ru-RU"/>
        </w:rPr>
        <w:t>.</w:t>
      </w:r>
    </w:p>
    <w:p>
      <w:pPr>
        <w:ind w:left="0" w:leftChars="0" w:firstLine="602" w:firstLineChars="250"/>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3.2</w:t>
      </w:r>
      <w:r>
        <w:rPr>
          <w:rFonts w:hint="default"/>
          <w:b/>
          <w:bCs/>
          <w:i w:val="0"/>
          <w:iCs w:val="0"/>
          <w:caps w:val="0"/>
          <w:color w:val="000000"/>
          <w:spacing w:val="0"/>
          <w:sz w:val="24"/>
          <w:szCs w:val="24"/>
          <w:lang w:val="ru-RU"/>
        </w:rPr>
        <w:t xml:space="preserve"> Р</w:t>
      </w:r>
      <w:r>
        <w:rPr>
          <w:rFonts w:hint="default" w:ascii="Times New Roman" w:hAnsi="Times New Roman"/>
          <w:b/>
          <w:bCs/>
          <w:i w:val="0"/>
          <w:iCs w:val="0"/>
          <w:caps w:val="0"/>
          <w:color w:val="000000"/>
          <w:spacing w:val="0"/>
          <w:sz w:val="24"/>
          <w:szCs w:val="24"/>
          <w:lang w:val="ru-RU"/>
        </w:rPr>
        <w:t>асчет продольного профиля</w:t>
      </w:r>
    </w:p>
    <w:p>
      <w:pPr>
        <w:ind w:left="0" w:leftChars="0" w:firstLine="600" w:firstLineChars="250"/>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расчет для определения сил натяжения в канате и их действия на канатные опоры и крепления каната</w:t>
      </w:r>
      <w:r>
        <w:rPr>
          <w:rFonts w:hint="default"/>
          <w:b w:val="0"/>
          <w:bCs w:val="0"/>
          <w:i w:val="0"/>
          <w:iCs w:val="0"/>
          <w:caps w:val="0"/>
          <w:color w:val="000000"/>
          <w:spacing w:val="0"/>
          <w:sz w:val="24"/>
          <w:szCs w:val="24"/>
          <w:lang w:val="ru-RU"/>
        </w:rPr>
        <w:t>.</w:t>
      </w:r>
    </w:p>
    <w:p>
      <w:pPr>
        <w:ind w:left="0" w:leftChars="0" w:firstLine="602" w:firstLineChars="250"/>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3.3</w:t>
      </w:r>
      <w:r>
        <w:rPr>
          <w:rFonts w:hint="default"/>
          <w:b/>
          <w:bCs/>
          <w:i w:val="0"/>
          <w:iCs w:val="0"/>
          <w:caps w:val="0"/>
          <w:color w:val="000000"/>
          <w:spacing w:val="0"/>
          <w:sz w:val="24"/>
          <w:szCs w:val="24"/>
          <w:lang w:val="ru-RU"/>
        </w:rPr>
        <w:t xml:space="preserve"> П</w:t>
      </w:r>
      <w:r>
        <w:rPr>
          <w:rFonts w:hint="default" w:ascii="Times New Roman" w:hAnsi="Times New Roman"/>
          <w:b/>
          <w:bCs/>
          <w:i w:val="0"/>
          <w:iCs w:val="0"/>
          <w:caps w:val="0"/>
          <w:color w:val="000000"/>
          <w:spacing w:val="0"/>
          <w:sz w:val="24"/>
          <w:szCs w:val="24"/>
          <w:lang w:val="ru-RU"/>
        </w:rPr>
        <w:t>устой трос</w:t>
      </w:r>
    </w:p>
    <w:p>
      <w:pPr>
        <w:ind w:left="0" w:leftChars="0" w:firstLine="600" w:firstLineChars="250"/>
        <w:jc w:val="both"/>
        <w:rPr>
          <w:rFonts w:hint="default" w:ascii="Times New Roman" w:hAnsi="Times New Roman"/>
          <w:b w:val="0"/>
          <w:bCs w:val="0"/>
          <w:i w:val="0"/>
          <w:iCs w:val="0"/>
          <w:caps w:val="0"/>
          <w:color w:val="000000"/>
          <w:spacing w:val="0"/>
          <w:sz w:val="24"/>
          <w:szCs w:val="24"/>
          <w:lang w:val="ru-RU"/>
        </w:rPr>
      </w:pPr>
      <w:r>
        <w:rPr>
          <w:rFonts w:hint="default" w:ascii="Times New Roman" w:hAnsi="Times New Roman"/>
          <w:b w:val="0"/>
          <w:bCs w:val="0"/>
          <w:i w:val="0"/>
          <w:iCs w:val="0"/>
          <w:caps w:val="0"/>
          <w:color w:val="000000"/>
          <w:spacing w:val="0"/>
          <w:sz w:val="24"/>
          <w:szCs w:val="24"/>
          <w:lang w:val="ru-RU"/>
        </w:rPr>
        <w:t>гусеничный трос или буксирный трос без держателей</w:t>
      </w:r>
      <w:r>
        <w:rPr>
          <w:rFonts w:hint="default"/>
          <w:b w:val="0"/>
          <w:bCs w:val="0"/>
          <w:i w:val="0"/>
          <w:iCs w:val="0"/>
          <w:caps w:val="0"/>
          <w:color w:val="000000"/>
          <w:spacing w:val="0"/>
          <w:sz w:val="24"/>
          <w:szCs w:val="24"/>
          <w:lang w:val="ru-RU"/>
        </w:rPr>
        <w:t>.</w:t>
      </w:r>
    </w:p>
    <w:p>
      <w:pPr>
        <w:ind w:left="0" w:leftChars="0" w:firstLine="602" w:firstLineChars="250"/>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3.4</w:t>
      </w:r>
      <w:r>
        <w:rPr>
          <w:rFonts w:hint="default"/>
          <w:b/>
          <w:bCs/>
          <w:i w:val="0"/>
          <w:iCs w:val="0"/>
          <w:caps w:val="0"/>
          <w:color w:val="000000"/>
          <w:spacing w:val="0"/>
          <w:sz w:val="24"/>
          <w:szCs w:val="24"/>
          <w:lang w:val="ru-RU"/>
        </w:rPr>
        <w:t xml:space="preserve"> Н</w:t>
      </w:r>
      <w:r>
        <w:rPr>
          <w:rFonts w:hint="default" w:ascii="Times New Roman" w:hAnsi="Times New Roman"/>
          <w:b/>
          <w:bCs/>
          <w:i w:val="0"/>
          <w:iCs w:val="0"/>
          <w:caps w:val="0"/>
          <w:color w:val="000000"/>
          <w:spacing w:val="0"/>
          <w:sz w:val="24"/>
          <w:szCs w:val="24"/>
          <w:lang w:val="ru-RU"/>
        </w:rPr>
        <w:t>езагруженный трос</w:t>
      </w:r>
    </w:p>
    <w:p>
      <w:pPr>
        <w:ind w:left="0" w:leftChars="0" w:firstLine="600" w:firstLineChars="250"/>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гусеничный трос или буксирный трос перевозят только пустые носители с требуемым шагом носителя</w:t>
      </w:r>
      <w:r>
        <w:rPr>
          <w:rFonts w:hint="default"/>
          <w:b w:val="0"/>
          <w:bCs w:val="0"/>
          <w:i w:val="0"/>
          <w:iCs w:val="0"/>
          <w:caps w:val="0"/>
          <w:color w:val="000000"/>
          <w:spacing w:val="0"/>
          <w:sz w:val="24"/>
          <w:szCs w:val="24"/>
          <w:lang w:val="ru-RU"/>
        </w:rPr>
        <w:t>.</w:t>
      </w:r>
    </w:p>
    <w:p>
      <w:pPr>
        <w:ind w:left="0" w:leftChars="0" w:firstLine="602" w:firstLineChars="250"/>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3.5</w:t>
      </w:r>
      <w:r>
        <w:rPr>
          <w:rFonts w:hint="default"/>
          <w:b/>
          <w:bCs/>
          <w:i w:val="0"/>
          <w:iCs w:val="0"/>
          <w:caps w:val="0"/>
          <w:color w:val="000000"/>
          <w:spacing w:val="0"/>
          <w:sz w:val="24"/>
          <w:szCs w:val="24"/>
          <w:lang w:val="ru-RU"/>
        </w:rPr>
        <w:t xml:space="preserve"> Н</w:t>
      </w:r>
      <w:r>
        <w:rPr>
          <w:rFonts w:hint="default" w:ascii="Times New Roman" w:hAnsi="Times New Roman"/>
          <w:b/>
          <w:bCs/>
          <w:i w:val="0"/>
          <w:iCs w:val="0"/>
          <w:caps w:val="0"/>
          <w:color w:val="000000"/>
          <w:spacing w:val="0"/>
          <w:sz w:val="24"/>
          <w:szCs w:val="24"/>
          <w:lang w:val="ru-RU"/>
        </w:rPr>
        <w:t>агруженный трос</w:t>
      </w:r>
    </w:p>
    <w:p>
      <w:pPr>
        <w:ind w:left="0" w:leftChars="0" w:firstLine="600" w:firstLineChars="250"/>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гусеничный трос или буксирный трос, несущий полностью нагруженные носители с требуемым шагом носителя</w:t>
      </w:r>
      <w:r>
        <w:rPr>
          <w:rFonts w:hint="default"/>
          <w:b w:val="0"/>
          <w:bCs w:val="0"/>
          <w:i w:val="0"/>
          <w:iCs w:val="0"/>
          <w:caps w:val="0"/>
          <w:color w:val="000000"/>
          <w:spacing w:val="0"/>
          <w:sz w:val="24"/>
          <w:szCs w:val="24"/>
          <w:lang w:val="ru-RU"/>
        </w:rPr>
        <w:t>.</w:t>
      </w:r>
    </w:p>
    <w:p>
      <w:pPr>
        <w:ind w:left="0" w:leftChars="0" w:firstLine="602" w:firstLineChars="250"/>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3.6</w:t>
      </w:r>
      <w:r>
        <w:rPr>
          <w:rFonts w:hint="default"/>
          <w:b/>
          <w:bCs/>
          <w:i w:val="0"/>
          <w:iCs w:val="0"/>
          <w:caps w:val="0"/>
          <w:color w:val="000000"/>
          <w:spacing w:val="0"/>
          <w:sz w:val="24"/>
          <w:szCs w:val="24"/>
          <w:lang w:val="ru-RU"/>
        </w:rPr>
        <w:t xml:space="preserve"> У</w:t>
      </w:r>
      <w:r>
        <w:rPr>
          <w:rFonts w:hint="default" w:ascii="Times New Roman" w:hAnsi="Times New Roman"/>
          <w:b/>
          <w:bCs/>
          <w:i w:val="0"/>
          <w:iCs w:val="0"/>
          <w:caps w:val="0"/>
          <w:color w:val="000000"/>
          <w:spacing w:val="0"/>
          <w:sz w:val="24"/>
          <w:szCs w:val="24"/>
          <w:lang w:val="ru-RU"/>
        </w:rPr>
        <w:t>гол отклонения каната</w:t>
      </w:r>
    </w:p>
    <w:p>
      <w:pPr>
        <w:ind w:left="0" w:leftChars="0" w:firstLine="600" w:firstLineChars="250"/>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угол, на который отклоняется канат, измеренный между касательной к канату в начале отклонения и касательной к канату в конце отклонения в той же плоскости, что и отклоненный канат</w:t>
      </w:r>
      <w:r>
        <w:rPr>
          <w:rFonts w:hint="default"/>
          <w:b w:val="0"/>
          <w:bCs w:val="0"/>
          <w:i w:val="0"/>
          <w:iCs w:val="0"/>
          <w:caps w:val="0"/>
          <w:color w:val="000000"/>
          <w:spacing w:val="0"/>
          <w:sz w:val="24"/>
          <w:szCs w:val="24"/>
          <w:lang w:val="ru-RU"/>
        </w:rPr>
        <w:t>.</w:t>
      </w:r>
    </w:p>
    <w:p>
      <w:pPr>
        <w:ind w:left="0" w:leftChars="0" w:firstLine="602" w:firstLineChars="250"/>
        <w:jc w:val="both"/>
        <w:rPr>
          <w:rFonts w:hint="default"/>
          <w:b/>
          <w:bCs/>
          <w:i w:val="0"/>
          <w:iCs w:val="0"/>
          <w:caps w:val="0"/>
          <w:color w:val="000000"/>
          <w:spacing w:val="0"/>
          <w:sz w:val="24"/>
          <w:szCs w:val="24"/>
          <w:lang w:val="ru-RU" w:eastAsia="fr-FR"/>
        </w:rPr>
      </w:pPr>
    </w:p>
    <w:p>
      <w:pPr>
        <w:ind w:left="0" w:leftChars="0" w:firstLine="602" w:firstLineChars="250"/>
        <w:jc w:val="both"/>
        <w:rPr>
          <w:rFonts w:hint="default"/>
          <w:b w:val="0"/>
          <w:bCs w:val="0"/>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4 Символы и сокращения</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Символы и сокращения объясняются с помощью формулы, к которой они применяются во всем этом документе.</w:t>
      </w:r>
    </w:p>
    <w:p>
      <w:pPr>
        <w:ind w:left="0" w:leftChars="0" w:firstLine="602" w:firstLineChars="250"/>
        <w:jc w:val="both"/>
        <w:rPr>
          <w:rFonts w:hint="default"/>
          <w:b/>
          <w:bCs/>
          <w:i w:val="0"/>
          <w:iCs w:val="0"/>
          <w:caps w:val="0"/>
          <w:color w:val="000000"/>
          <w:spacing w:val="0"/>
          <w:sz w:val="24"/>
          <w:szCs w:val="24"/>
          <w:lang w:val="ru-RU" w:eastAsia="fr-FR"/>
        </w:rPr>
      </w:pP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5 Общие требования</w:t>
      </w:r>
    </w:p>
    <w:p>
      <w:pPr>
        <w:ind w:left="0" w:leftChars="0" w:firstLine="602" w:firstLineChars="250"/>
        <w:jc w:val="both"/>
        <w:rPr>
          <w:rFonts w:hint="default"/>
          <w:b w:val="0"/>
          <w:bCs w:val="0"/>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5.1 Применение настоящего Стандарта</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Требования этого документа вместе с требованиями EN 1709, EN 1908, EN 1909, EN 12397, EN 12408, EN 12927 (все части), EN 12929 (все части), EN 13107, EN 13223, EN 13243 и EN 13796 (все части) применяются ко всем установкам канатной дороги.</w:t>
      </w:r>
    </w:p>
    <w:p>
      <w:pPr>
        <w:ind w:left="0" w:leftChars="0" w:firstLine="600" w:firstLineChars="250"/>
        <w:jc w:val="both"/>
        <w:rPr>
          <w:rFonts w:hint="default"/>
          <w:b w:val="0"/>
          <w:bCs w:val="0"/>
          <w:i w:val="0"/>
          <w:iCs w:val="0"/>
          <w:caps w:val="0"/>
          <w:color w:val="000000"/>
          <w:spacing w:val="0"/>
          <w:sz w:val="24"/>
          <w:szCs w:val="24"/>
          <w:lang w:val="ru-RU" w:eastAsia="fr-FR"/>
        </w:rPr>
      </w:pP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5.2 Принципы безопасности</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5.2.1Общие положения</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Применяются принципы безопасности, изложенные в EN 12929-1.</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Кроме того, также применимы следующие сценарии опасности и требования безопасности, относящиеся к сфере применения данного документа:</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5.2.2 Сценарии опасности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 xml:space="preserve">Следующие события могут привести к опасным ситуациям, которых можно избежать или ограничить требованиями настоящего документа: </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а)отсутствие или неправильная оценка действий по отдельным компонентам установки;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б) использование ненадлежащих методов расчета или формул;</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c)отсутствие или недостаточный учет динамических воздействий и усталостных воздействий на отдельные компоненты;</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г) отсутствие или неправильная оценка наиболее неблагоприятных сочетаний воздействий друг на друга при определении размеров и проведении расчетов;</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д) ошибочные допущения в расчетах.</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5.2.3 Меры безопасности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Этот документ устанавливает необходимые общие требования для минимизации сценариев опасности, перечисленных в 5.2.2, при проведении проверки путем расчета и при проектировании всей установки, а также отдельных компонентов, в частности, при расчете продольного профиля и троса, а также для предотвращения опасных ситуаций.</w:t>
      </w:r>
    </w:p>
    <w:p>
      <w:pPr>
        <w:ind w:left="0" w:leftChars="0" w:firstLine="600" w:firstLineChars="250"/>
        <w:jc w:val="both"/>
        <w:rPr>
          <w:rFonts w:hint="default"/>
          <w:b w:val="0"/>
          <w:bCs w:val="0"/>
          <w:i w:val="0"/>
          <w:iCs w:val="0"/>
          <w:caps w:val="0"/>
          <w:color w:val="000000"/>
          <w:spacing w:val="0"/>
          <w:sz w:val="24"/>
          <w:szCs w:val="24"/>
          <w:lang w:val="ru-RU" w:eastAsia="fr-FR"/>
        </w:rPr>
      </w:pP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 Общие требования к расчетам</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6.1 Общие замечания</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Расчеты, которые должны быть представлены, должны продемонстрировать, что требования безопасности для канатных дорог, определенные в этом документе, и требования других стандартов, перечисленных в 5.1, выполнены. При этом должны приниматься во внимание ожидаемые условия эксплуатации установки.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Компоненты безопасности установки должны быть проверены с помощью расчетов, где это необходимо, в отношении статических напряжений, усталостных напряжений, стабильности и пригодности для использования.</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6.2 Методы расчета</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Все методы, используемые в расчетах, должны быть либо указаны непосредственно, либо объяснены точными библиографическими ссылками.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Методы аппроксимации и расчетные модели должны обеспечивать результаты, которые являются достаточно точными и консервативными.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Всегда должно применяться следующее:</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a) при любом расчете механической системы, конструкции или компонента из документации должно быть ясно, каковы предполагаемые величины и направления воздействий и какие поперечные сечения были исследованы;</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б) расчеты должны производиться с учетом комбинаций действий, изложенных в стандартах и других спецификациях. Если такая информация недоступна, в качестве основы должны использоваться наиболее неблагоприятные условия взаимодействия нагрузок, и должны быть указаны как направления, так и величины воздействий, а также их комбинации.</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6.3 Представление расчетов</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Документы расчета должны быть четкими и совершенно понятными без какой-либо дополнительной информации. Должны быть указаны их происхождение и дата изготовления.</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Результаты компьютерных расчетов должны сопровождаться листом, на котором описана расчетная модель, используемые методы и допущения. Используемые символы и сокращения должны быть объяснены. Должна быть указана версия используемой компьютерной программы. Входные значения и выходные значения (результаты) должны быть связаны друг с другом.</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6.4 Проверка с помощью тестов</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Проверка только с помощью тестов может быть проведена, если этот документ или другие Стандарты не содержат указаний, касающихся расчета, и расчет в соответствии с признанными методами невозможен.</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В исключительных случаях, например, при сложных компонентах или динамических воздействиях, может потребоваться дополнительная проверка с помощью испытаний в дополнение к расчетам для проверки характеристик компонентов безопасности. Программа и методы испытаний должны обеспечивать условия испытаний, максимально приближенные к фактическим условиям эксплуатации.</w:t>
      </w:r>
    </w:p>
    <w:p>
      <w:pPr>
        <w:ind w:left="0" w:leftChars="0" w:firstLine="600" w:firstLineChars="250"/>
        <w:jc w:val="both"/>
        <w:rPr>
          <w:rFonts w:hint="default"/>
          <w:b w:val="0"/>
          <w:bCs w:val="0"/>
          <w:i w:val="0"/>
          <w:iCs w:val="0"/>
          <w:caps w:val="0"/>
          <w:color w:val="000000"/>
          <w:spacing w:val="0"/>
          <w:sz w:val="24"/>
          <w:szCs w:val="24"/>
          <w:lang w:val="ru-RU" w:eastAsia="fr-FR"/>
        </w:rPr>
      </w:pP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6.5 Действия</w:t>
      </w:r>
    </w:p>
    <w:p>
      <w:pPr>
        <w:ind w:left="0" w:leftChars="0" w:firstLine="602" w:firstLineChars="250"/>
        <w:jc w:val="both"/>
        <w:rPr>
          <w:rFonts w:hint="default"/>
          <w:b/>
          <w:bCs/>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6.5.1 Общие положения</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В расчетах должны учитываться следующие группы действий:</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-собственный вес и наложенные нагрузки;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-динамические действия;</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-действия , возникающие в результате сил натяжения в канатах;</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-действия, обусловленные климатическими условиями;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-другие действия (например, из-за лавин, землетрясений, условий установки).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Комбинации действий, применимые к каждому компоненту, указаны в стандартах EN 1908, EN 13223, EN 13107 и EN 13796-1.</w:t>
      </w:r>
    </w:p>
    <w:p>
      <w:pPr>
        <w:ind w:left="0" w:leftChars="0" w:firstLine="602" w:firstLineChars="250"/>
        <w:jc w:val="both"/>
        <w:rPr>
          <w:rFonts w:hint="default"/>
          <w:b w:val="0"/>
          <w:bCs w:val="0"/>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6.5.2</w:t>
      </w:r>
      <w:r>
        <w:rPr>
          <w:rFonts w:hint="default"/>
          <w:b w:val="0"/>
          <w:bCs w:val="0"/>
          <w:i w:val="0"/>
          <w:iCs w:val="0"/>
          <w:caps w:val="0"/>
          <w:color w:val="000000"/>
          <w:spacing w:val="0"/>
          <w:sz w:val="24"/>
          <w:szCs w:val="24"/>
          <w:lang w:val="ru-RU" w:eastAsia="fr-FR"/>
        </w:rPr>
        <w:t xml:space="preserve"> Собственный вес компонентов должен оцениваться в соответствии с EN 1991-1-1 или, если стандарт не применяется, в соответствии с информацией от поставщика.</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В отношении массы человека, которая должна быть принята для расчета продольного профиля, применяется пункт 7.2.1 b).</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Что касается массы человека, которая должна быть принята для определения размеров носителей, см. EN 13796-1.</w:t>
      </w:r>
    </w:p>
    <w:p>
      <w:pPr>
        <w:ind w:left="0" w:leftChars="0" w:firstLine="602" w:firstLineChars="250"/>
        <w:jc w:val="both"/>
        <w:rPr>
          <w:rFonts w:hint="default"/>
          <w:b w:val="0"/>
          <w:bCs w:val="0"/>
          <w:i w:val="0"/>
          <w:iCs w:val="0"/>
          <w:caps w:val="0"/>
          <w:color w:val="000000"/>
          <w:spacing w:val="0"/>
          <w:sz w:val="24"/>
          <w:szCs w:val="24"/>
          <w:lang w:val="ru-RU" w:eastAsia="fr-FR"/>
        </w:rPr>
      </w:pPr>
      <w:r>
        <w:rPr>
          <w:rFonts w:hint="default"/>
          <w:b/>
          <w:bCs/>
          <w:i w:val="0"/>
          <w:iCs w:val="0"/>
          <w:caps w:val="0"/>
          <w:color w:val="000000"/>
          <w:spacing w:val="0"/>
          <w:sz w:val="24"/>
          <w:szCs w:val="24"/>
          <w:lang w:val="ru-RU" w:eastAsia="fr-FR"/>
        </w:rPr>
        <w:t>6.5.3</w:t>
      </w:r>
      <w:r>
        <w:rPr>
          <w:rFonts w:hint="default"/>
          <w:b w:val="0"/>
          <w:bCs w:val="0"/>
          <w:i w:val="0"/>
          <w:iCs w:val="0"/>
          <w:caps w:val="0"/>
          <w:color w:val="000000"/>
          <w:spacing w:val="0"/>
          <w:sz w:val="24"/>
          <w:szCs w:val="24"/>
          <w:lang w:val="ru-RU" w:eastAsia="fr-FR"/>
        </w:rPr>
        <w:t xml:space="preserve"> Действия от веревок должны быть рассчитаны в соответствии с пунктом 7. Для определения размеров конструкций должны применяться пункты 10 и EN 1991-1-1.</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6.5.4 Воздействие ветра должно определяться результирующей силой ветра Fw в соответствии со следующими положениями:</w:t>
      </w:r>
    </w:p>
    <w:p>
      <w:pPr>
        <w:ind w:left="0" w:leftChars="0" w:firstLine="600" w:firstLineChars="250"/>
        <w:jc w:val="both"/>
        <w:rPr>
          <w:rFonts w:hint="default"/>
          <w:b w:val="0"/>
          <w:bCs w:val="0"/>
          <w:i w:val="0"/>
          <w:iCs w:val="0"/>
          <w:caps w:val="0"/>
          <w:color w:val="000000"/>
          <w:spacing w:val="0"/>
          <w:sz w:val="24"/>
          <w:szCs w:val="24"/>
          <w:lang w:val="ru-RU" w:eastAsia="fr-FR"/>
        </w:rPr>
      </w:pPr>
      <w:r>
        <w:rPr>
          <w:rFonts w:hint="default"/>
          <w:b w:val="0"/>
          <w:bCs w:val="0"/>
          <w:i w:val="0"/>
          <w:iCs w:val="0"/>
          <w:caps w:val="0"/>
          <w:color w:val="000000"/>
          <w:spacing w:val="0"/>
          <w:sz w:val="24"/>
          <w:szCs w:val="24"/>
          <w:lang w:val="ru-RU" w:eastAsia="fr-FR"/>
        </w:rPr>
        <w:t>Результирующая сила ветра обычно рассчитывается в соответствии с EN 1991-1-4 на основе формулы (1):</w:t>
      </w:r>
    </w:p>
    <w:p>
      <w:pPr>
        <w:ind w:left="0" w:leftChars="0" w:firstLine="600" w:firstLineChars="250"/>
        <w:jc w:val="both"/>
        <w:rPr>
          <w:rFonts w:hint="default"/>
          <w:b w:val="0"/>
          <w:bCs w:val="0"/>
          <w:i w:val="0"/>
          <w:iCs w:val="0"/>
          <w:caps w:val="0"/>
          <w:color w:val="000000"/>
          <w:spacing w:val="0"/>
          <w:sz w:val="24"/>
          <w:szCs w:val="24"/>
          <w:lang w:val="ru-RU" w:eastAsia="fr-FR"/>
        </w:rPr>
      </w:pPr>
    </w:p>
    <w:p>
      <w:pPr>
        <w:ind w:left="0" w:leftChars="0" w:firstLine="600" w:firstLineChars="250"/>
        <w:jc w:val="both"/>
        <w:rPr>
          <w:color w:val="FF0000"/>
          <w:sz w:val="24"/>
          <w:szCs w:val="24"/>
        </w:rPr>
      </w:pPr>
      <w:r>
        <w:rPr>
          <w:color w:val="FF0000"/>
          <w:position w:val="-12"/>
          <w:sz w:val="24"/>
          <w:szCs w:val="24"/>
        </w:rPr>
        <w:object>
          <v:shape id="_x0000_i1026" o:spt="75" type="#_x0000_t75" style="height:18pt;width:74.25pt;" o:ole="t" fillcolor="#000011" filled="f" o:preferrelative="t" stroked="f" coordsize="21600,21600">
            <v:path/>
            <v:fill on="f" focussize="0,0"/>
            <v:stroke on="f"/>
            <v:imagedata r:id="rId11" o:title=""/>
            <o:lock v:ext="edit" aspectratio="t"/>
            <w10:wrap type="none"/>
            <w10:anchorlock/>
          </v:shape>
          <o:OLEObject Type="Embed" ProgID="Equation.DSMT4" ShapeID="_x0000_i1026" DrawAspect="Content" ObjectID="_1468075725" r:id="rId10">
            <o:LockedField>false</o:LockedField>
          </o:OLEObject>
        </w:object>
      </w:r>
    </w:p>
    <w:p>
      <w:pPr>
        <w:ind w:left="0" w:leftChars="0" w:firstLine="600" w:firstLineChars="250"/>
        <w:jc w:val="both"/>
        <w:rPr>
          <w:sz w:val="24"/>
          <w:szCs w:val="24"/>
        </w:rPr>
      </w:pPr>
    </w:p>
    <w:p>
      <w:pPr>
        <w:ind w:left="0" w:leftChars="0" w:firstLine="600" w:firstLineChars="250"/>
        <w:jc w:val="both"/>
        <w:rPr>
          <w:rFonts w:hint="default"/>
          <w:sz w:val="24"/>
          <w:szCs w:val="24"/>
          <w:lang w:val="ru-RU"/>
        </w:rPr>
      </w:pPr>
      <w:r>
        <w:rPr>
          <w:rFonts w:hint="default"/>
          <w:sz w:val="24"/>
          <w:szCs w:val="24"/>
          <w:lang w:val="ru-RU"/>
        </w:rPr>
        <w:t>Где:</w:t>
      </w:r>
    </w:p>
    <w:p>
      <w:pPr>
        <w:ind w:left="0" w:leftChars="0" w:firstLine="600" w:firstLineChars="250"/>
        <w:jc w:val="both"/>
        <w:rPr>
          <w:rFonts w:hint="default"/>
          <w:sz w:val="24"/>
          <w:szCs w:val="24"/>
          <w:lang w:val="ru-RU" w:eastAsia="fr-FR"/>
        </w:rPr>
      </w:pPr>
    </w:p>
    <w:tbl>
      <w:tblPr>
        <w:tblStyle w:val="9"/>
        <w:tblW w:w="0" w:type="auto"/>
        <w:tblInd w:w="392" w:type="dxa"/>
        <w:tblLayout w:type="autofit"/>
        <w:tblCellMar>
          <w:top w:w="0" w:type="dxa"/>
          <w:left w:w="108" w:type="dxa"/>
          <w:bottom w:w="0" w:type="dxa"/>
          <w:right w:w="108" w:type="dxa"/>
        </w:tblCellMar>
      </w:tblPr>
      <w:tblGrid>
        <w:gridCol w:w="1070"/>
        <w:gridCol w:w="8108"/>
      </w:tblGrid>
      <w:tr>
        <w:tblPrEx>
          <w:tblCellMar>
            <w:top w:w="0" w:type="dxa"/>
            <w:left w:w="108" w:type="dxa"/>
            <w:bottom w:w="0" w:type="dxa"/>
            <w:right w:w="108" w:type="dxa"/>
          </w:tblCellMar>
        </w:tblPrEx>
        <w:tc>
          <w:tcPr>
            <w:tcW w:w="1101"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q</w:t>
            </w:r>
          </w:p>
        </w:tc>
        <w:tc>
          <w:tcPr>
            <w:tcW w:w="8475"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динамическое давление</w:t>
            </w:r>
            <w:r>
              <w:rPr>
                <w:rFonts w:hint="default" w:ascii="Times New Roman" w:hAnsi="Times New Roman" w:cs="Times New Roman"/>
                <w:sz w:val="20"/>
                <w:szCs w:val="20"/>
              </w:rPr>
              <w:t>;</w:t>
            </w:r>
          </w:p>
        </w:tc>
      </w:tr>
      <w:tr>
        <w:tblPrEx>
          <w:tblCellMar>
            <w:top w:w="0" w:type="dxa"/>
            <w:left w:w="108" w:type="dxa"/>
            <w:bottom w:w="0" w:type="dxa"/>
            <w:right w:w="108" w:type="dxa"/>
          </w:tblCellMar>
        </w:tblPrEx>
        <w:tc>
          <w:tcPr>
            <w:tcW w:w="1101"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c</w:t>
            </w:r>
            <w:r>
              <w:rPr>
                <w:rStyle w:val="228"/>
                <w:rFonts w:hint="default" w:ascii="Times New Roman" w:hAnsi="Times New Roman" w:eastAsia="MS Mincho" w:cs="Times New Roman"/>
                <w:sz w:val="20"/>
                <w:szCs w:val="20"/>
              </w:rPr>
              <w:t>f</w:t>
            </w:r>
          </w:p>
        </w:tc>
        <w:tc>
          <w:tcPr>
            <w:tcW w:w="8475"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коэффициент силы</w:t>
            </w:r>
            <w:r>
              <w:rPr>
                <w:rFonts w:hint="default" w:ascii="Times New Roman" w:hAnsi="Times New Roman" w:cs="Times New Roman"/>
                <w:sz w:val="20"/>
                <w:szCs w:val="20"/>
              </w:rPr>
              <w:t>;</w:t>
            </w:r>
          </w:p>
        </w:tc>
      </w:tr>
      <w:tr>
        <w:tblPrEx>
          <w:tblCellMar>
            <w:top w:w="0" w:type="dxa"/>
            <w:left w:w="108" w:type="dxa"/>
            <w:bottom w:w="0" w:type="dxa"/>
            <w:right w:w="108" w:type="dxa"/>
          </w:tblCellMar>
        </w:tblPrEx>
        <w:tc>
          <w:tcPr>
            <w:tcW w:w="1101"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A</w:t>
            </w:r>
            <w:r>
              <w:rPr>
                <w:rStyle w:val="228"/>
                <w:rFonts w:hint="default" w:ascii="Times New Roman" w:hAnsi="Times New Roman" w:eastAsia="MS Mincho" w:cs="Times New Roman"/>
                <w:sz w:val="20"/>
                <w:szCs w:val="20"/>
              </w:rPr>
              <w:t>ref</w:t>
            </w:r>
          </w:p>
        </w:tc>
        <w:tc>
          <w:tcPr>
            <w:tcW w:w="8475"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контрольная область для</w:t>
            </w:r>
            <w:r>
              <w:rPr>
                <w:rFonts w:hint="default" w:ascii="Times New Roman" w:hAnsi="Times New Roman" w:cs="Times New Roman"/>
                <w:sz w:val="20"/>
                <w:szCs w:val="20"/>
              </w:rPr>
              <w:t xml:space="preserve"> </w:t>
            </w:r>
            <w:r>
              <w:rPr>
                <w:rStyle w:val="227"/>
                <w:rFonts w:hint="default" w:ascii="Times New Roman" w:hAnsi="Times New Roman" w:cs="Times New Roman"/>
                <w:sz w:val="20"/>
                <w:szCs w:val="20"/>
              </w:rPr>
              <w:t>c</w:t>
            </w:r>
            <w:r>
              <w:rPr>
                <w:rStyle w:val="228"/>
                <w:rFonts w:hint="default" w:ascii="Times New Roman" w:hAnsi="Times New Roman" w:eastAsia="MS Mincho" w:cs="Times New Roman"/>
                <w:sz w:val="20"/>
                <w:szCs w:val="20"/>
              </w:rPr>
              <w:t>f</w:t>
            </w:r>
          </w:p>
        </w:tc>
      </w:tr>
    </w:tbl>
    <w:p>
      <w:pPr>
        <w:autoSpaceDE w:val="0"/>
        <w:autoSpaceDN w:val="0"/>
        <w:adjustRightInd w:val="0"/>
        <w:spacing w:after="0" w:line="240" w:lineRule="auto"/>
        <w:jc w:val="center"/>
      </w:pPr>
    </w:p>
    <w:p>
      <w:pPr>
        <w:autoSpaceDE w:val="0"/>
        <w:autoSpaceDN w:val="0"/>
        <w:adjustRightInd w:val="0"/>
        <w:spacing w:after="0" w:line="240" w:lineRule="auto"/>
        <w:ind w:left="0" w:leftChars="0" w:firstLine="600" w:firstLineChars="250"/>
        <w:jc w:val="both"/>
        <w:rPr>
          <w:rFonts w:hint="default"/>
          <w:sz w:val="24"/>
          <w:szCs w:val="24"/>
        </w:rPr>
      </w:pPr>
      <w:r>
        <w:rPr>
          <w:rFonts w:hint="default"/>
          <w:sz w:val="24"/>
          <w:szCs w:val="24"/>
        </w:rPr>
        <w:t>Значения, указанные в EN 1991-1-4 и в национальных строительных стандартах, могут отличаться в зависимости от конкретных условий канатной дороги.</w:t>
      </w:r>
    </w:p>
    <w:p>
      <w:pPr>
        <w:autoSpaceDE w:val="0"/>
        <w:autoSpaceDN w:val="0"/>
        <w:adjustRightInd w:val="0"/>
        <w:spacing w:after="0" w:line="240" w:lineRule="auto"/>
        <w:ind w:left="0" w:leftChars="0" w:firstLine="600" w:firstLineChars="250"/>
        <w:jc w:val="both"/>
        <w:rPr>
          <w:rFonts w:hint="default"/>
          <w:sz w:val="24"/>
          <w:szCs w:val="24"/>
        </w:rPr>
      </w:pPr>
      <w:r>
        <w:rPr>
          <w:rFonts w:hint="default"/>
          <w:sz w:val="24"/>
          <w:szCs w:val="24"/>
        </w:rPr>
        <w:t>При условии, что в EN 1709, EN 1908, EN 1909, EN 12397, EN 12408, EN 12927 (все части), EN 12929 (все части), EN13107, EN 13223, EN 13243 и EN 13796 (все части) не указаны другие правила, должны применяться следующие значения динамического давления:</w:t>
      </w:r>
    </w:p>
    <w:p>
      <w:pPr>
        <w:autoSpaceDE w:val="0"/>
        <w:autoSpaceDN w:val="0"/>
        <w:adjustRightInd w:val="0"/>
        <w:spacing w:after="0" w:line="240" w:lineRule="auto"/>
        <w:ind w:left="0" w:leftChars="0" w:firstLine="600" w:firstLineChars="250"/>
        <w:jc w:val="both"/>
        <w:rPr>
          <w:rFonts w:hint="default"/>
          <w:sz w:val="24"/>
          <w:szCs w:val="24"/>
        </w:rPr>
      </w:pPr>
      <w:r>
        <w:rPr>
          <w:rFonts w:hint="default"/>
          <w:sz w:val="24"/>
          <w:szCs w:val="24"/>
        </w:rPr>
        <w:t xml:space="preserve">а) в процессе эксплуатации должно использоваться минимальное значение динамического давления q = 0,25 кН/м2. Для конкретных канатных дорог может потребоваться более высокое значение. </w:t>
      </w:r>
    </w:p>
    <w:p>
      <w:pPr>
        <w:autoSpaceDE w:val="0"/>
        <w:autoSpaceDN w:val="0"/>
        <w:adjustRightInd w:val="0"/>
        <w:spacing w:after="0" w:line="240" w:lineRule="auto"/>
        <w:ind w:left="0" w:leftChars="0" w:firstLine="600" w:firstLineChars="250"/>
        <w:jc w:val="both"/>
        <w:rPr>
          <w:rFonts w:hint="default"/>
          <w:sz w:val="24"/>
          <w:szCs w:val="24"/>
        </w:rPr>
      </w:pPr>
      <w:r>
        <w:rPr>
          <w:rFonts w:hint="default"/>
          <w:sz w:val="24"/>
          <w:szCs w:val="24"/>
        </w:rPr>
        <w:t>b) в нерабочем состоянии минимальное значение динамического давления составляет q = 1,20 кН/м2, при условии, что конкретные местные условия установки канатной дороги или национальные положения или директивы, касающиеся канатных дорог, не предусматривают других значений.</w:t>
      </w:r>
    </w:p>
    <w:p>
      <w:pPr>
        <w:autoSpaceDE w:val="0"/>
        <w:autoSpaceDN w:val="0"/>
        <w:adjustRightInd w:val="0"/>
        <w:spacing w:after="0" w:line="240" w:lineRule="auto"/>
        <w:ind w:left="0" w:leftChars="0" w:firstLine="600" w:firstLineChars="250"/>
        <w:jc w:val="both"/>
        <w:rPr>
          <w:rFonts w:hint="default"/>
          <w:sz w:val="24"/>
          <w:szCs w:val="24"/>
        </w:rPr>
      </w:pPr>
      <w:r>
        <w:rPr>
          <w:rFonts w:hint="default"/>
          <w:sz w:val="24"/>
          <w:szCs w:val="24"/>
        </w:rPr>
        <w:t>c) динамическое давление действует как равномерно распределенная нагрузка по всей длине склона /*. В нерабочем состоянии динамическое давление может быть уменьшено в соответствии с уравнением (2).</w:t>
      </w:r>
    </w:p>
    <w:p>
      <w:pPr>
        <w:autoSpaceDE w:val="0"/>
        <w:autoSpaceDN w:val="0"/>
        <w:adjustRightInd w:val="0"/>
        <w:spacing w:after="0" w:line="240" w:lineRule="auto"/>
        <w:ind w:left="0" w:leftChars="0" w:firstLine="600" w:firstLineChars="250"/>
        <w:jc w:val="both"/>
        <w:rPr>
          <w:rFonts w:hint="default"/>
          <w:sz w:val="24"/>
          <w:szCs w:val="24"/>
        </w:rPr>
      </w:pPr>
    </w:p>
    <w:p>
      <w:pPr>
        <w:autoSpaceDE w:val="0"/>
        <w:autoSpaceDN w:val="0"/>
        <w:adjustRightInd w:val="0"/>
        <w:spacing w:after="0" w:line="240" w:lineRule="auto"/>
        <w:ind w:left="0" w:leftChars="0" w:firstLine="600" w:firstLineChars="250"/>
        <w:jc w:val="both"/>
        <w:rPr>
          <w:rFonts w:hint="default"/>
          <w:sz w:val="24"/>
          <w:szCs w:val="24"/>
        </w:rPr>
      </w:pPr>
      <w:r>
        <w:rPr>
          <w:i/>
          <w:sz w:val="24"/>
          <w:szCs w:val="24"/>
        </w:rPr>
        <w:t>q</w:t>
      </w:r>
      <w:r>
        <w:rPr>
          <w:i/>
          <w:sz w:val="24"/>
          <w:szCs w:val="24"/>
          <w:vertAlign w:val="subscript"/>
        </w:rPr>
        <w:t xml:space="preserve">red </w:t>
      </w:r>
      <w:r>
        <w:rPr>
          <w:sz w:val="24"/>
          <w:szCs w:val="24"/>
        </w:rPr>
        <w:t xml:space="preserve">= </w:t>
      </w:r>
      <w:r>
        <w:rPr>
          <w:i/>
          <w:sz w:val="24"/>
          <w:szCs w:val="24"/>
        </w:rPr>
        <w:t>β</w:t>
      </w:r>
      <w:r>
        <w:rPr>
          <w:sz w:val="24"/>
          <w:szCs w:val="24"/>
        </w:rPr>
        <w:t xml:space="preserve"> × </w:t>
      </w:r>
      <w:r>
        <w:rPr>
          <w:i/>
          <w:sz w:val="24"/>
          <w:szCs w:val="24"/>
        </w:rPr>
        <w:t>q</w:t>
      </w:r>
    </w:p>
    <w:p>
      <w:pPr>
        <w:autoSpaceDE w:val="0"/>
        <w:autoSpaceDN w:val="0"/>
        <w:adjustRightInd w:val="0"/>
        <w:spacing w:after="0" w:line="240" w:lineRule="auto"/>
        <w:jc w:val="left"/>
      </w:pPr>
    </w:p>
    <w:p>
      <w:pPr>
        <w:autoSpaceDE w:val="0"/>
        <w:autoSpaceDN w:val="0"/>
        <w:adjustRightInd w:val="0"/>
        <w:spacing w:after="0" w:line="240" w:lineRule="auto"/>
        <w:ind w:left="0" w:leftChars="0" w:firstLine="720" w:firstLineChars="300"/>
        <w:jc w:val="left"/>
        <w:rPr>
          <w:rFonts w:hint="default"/>
          <w:sz w:val="24"/>
          <w:szCs w:val="24"/>
          <w:lang w:val="ru-RU"/>
        </w:rPr>
      </w:pPr>
      <w:r>
        <w:rPr>
          <w:sz w:val="24"/>
          <w:szCs w:val="24"/>
          <w:lang w:val="ru-RU"/>
        </w:rPr>
        <w:t>Где</w:t>
      </w:r>
      <w:r>
        <w:rPr>
          <w:rFonts w:hint="default"/>
          <w:sz w:val="24"/>
          <w:szCs w:val="24"/>
          <w:lang w:val="ru-RU"/>
        </w:rPr>
        <w:t>:</w:t>
      </w:r>
    </w:p>
    <w:tbl>
      <w:tblPr>
        <w:tblStyle w:val="9"/>
        <w:tblW w:w="0" w:type="auto"/>
        <w:tblInd w:w="392" w:type="dxa"/>
        <w:tblLayout w:type="autofit"/>
        <w:tblCellMar>
          <w:top w:w="0" w:type="dxa"/>
          <w:left w:w="108" w:type="dxa"/>
          <w:bottom w:w="0" w:type="dxa"/>
          <w:right w:w="108" w:type="dxa"/>
        </w:tblCellMar>
      </w:tblPr>
      <w:tblGrid>
        <w:gridCol w:w="1310"/>
        <w:gridCol w:w="7868"/>
      </w:tblGrid>
      <w:tr>
        <w:tblPrEx>
          <w:tblCellMar>
            <w:top w:w="0" w:type="dxa"/>
            <w:left w:w="108" w:type="dxa"/>
            <w:bottom w:w="0" w:type="dxa"/>
            <w:right w:w="108" w:type="dxa"/>
          </w:tblCellMar>
        </w:tblPrEx>
        <w:tc>
          <w:tcPr>
            <w:tcW w:w="1354"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q</w:t>
            </w:r>
            <w:r>
              <w:rPr>
                <w:rStyle w:val="228"/>
                <w:rFonts w:hint="default" w:ascii="Times New Roman" w:hAnsi="Times New Roman" w:eastAsia="MS Mincho" w:cs="Times New Roman"/>
                <w:sz w:val="20"/>
                <w:szCs w:val="20"/>
              </w:rPr>
              <w:t>red</w:t>
            </w:r>
          </w:p>
        </w:tc>
        <w:tc>
          <w:tcPr>
            <w:tcW w:w="8222"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уменьшенное динамическое давление, действующее на длину уклона /* пролета;</w:t>
            </w:r>
          </w:p>
        </w:tc>
      </w:tr>
      <w:tr>
        <w:tblPrEx>
          <w:tblCellMar>
            <w:top w:w="0" w:type="dxa"/>
            <w:left w:w="108" w:type="dxa"/>
            <w:bottom w:w="0" w:type="dxa"/>
            <w:right w:w="108" w:type="dxa"/>
          </w:tblCellMar>
        </w:tblPrEx>
        <w:tc>
          <w:tcPr>
            <w:tcW w:w="1354"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β</w:t>
            </w:r>
          </w:p>
        </w:tc>
        <w:tc>
          <w:tcPr>
            <w:tcW w:w="8222"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lang w:val="ru-RU"/>
              </w:rPr>
            </w:pPr>
            <w:r>
              <w:rPr>
                <w:rFonts w:hint="default" w:ascii="Times New Roman" w:hAnsi="Times New Roman" w:eastAsia="SimSun" w:cs="Times New Roman"/>
                <w:i w:val="0"/>
                <w:iCs w:val="0"/>
                <w:caps w:val="0"/>
                <w:color w:val="000000"/>
                <w:spacing w:val="0"/>
                <w:sz w:val="20"/>
                <w:szCs w:val="20"/>
              </w:rPr>
              <w:t>коэффициент уменьшения</w:t>
            </w:r>
            <w:r>
              <w:rPr>
                <w:rFonts w:hint="default" w:ascii="Times New Roman" w:hAnsi="Times New Roman" w:eastAsia="SimSun" w:cs="Times New Roman"/>
                <w:i w:val="0"/>
                <w:iCs w:val="0"/>
                <w:caps w:val="0"/>
                <w:color w:val="000000"/>
                <w:spacing w:val="0"/>
                <w:sz w:val="20"/>
                <w:szCs w:val="20"/>
                <w:lang w:val="ru-RU"/>
              </w:rPr>
              <w:t>;</w:t>
            </w:r>
          </w:p>
        </w:tc>
      </w:tr>
      <w:tr>
        <w:tblPrEx>
          <w:tblCellMar>
            <w:top w:w="0" w:type="dxa"/>
            <w:left w:w="108" w:type="dxa"/>
            <w:bottom w:w="0" w:type="dxa"/>
            <w:right w:w="108" w:type="dxa"/>
          </w:tblCellMar>
        </w:tblPrEx>
        <w:tc>
          <w:tcPr>
            <w:tcW w:w="1354"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q</w:t>
            </w:r>
          </w:p>
        </w:tc>
        <w:tc>
          <w:tcPr>
            <w:tcW w:w="8222"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динамическое давление.</w:t>
            </w:r>
          </w:p>
        </w:tc>
      </w:tr>
    </w:tbl>
    <w:p>
      <w:pPr>
        <w:autoSpaceDE w:val="0"/>
        <w:autoSpaceDN w:val="0"/>
        <w:adjustRightInd w:val="0"/>
        <w:spacing w:after="0" w:line="240" w:lineRule="auto"/>
        <w:ind w:left="0" w:leftChars="0" w:firstLine="720" w:firstLineChars="300"/>
        <w:jc w:val="left"/>
        <w:rPr>
          <w:rFonts w:hint="default"/>
          <w:sz w:val="24"/>
          <w:szCs w:val="24"/>
          <w:lang w:val="ru-RU"/>
        </w:rPr>
      </w:pP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Коэффициент уменьшения β равен:</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1)1,00 при l* = 0 м;</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2)0,65 при l* = 600 м;</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3)0,50 при l* ≥ 2 000 м.</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При длине поля наклона l* от 0 м до 600 м или от 600 м до 2000 м значение β устанавливается путем линейной интерполяции.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определения боковых отклонений канатов см. EN 12929-1.</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6.5.5 Другие действия</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6.5.5.1</w:t>
      </w:r>
      <w:r>
        <w:rPr>
          <w:rFonts w:hint="default"/>
          <w:sz w:val="24"/>
          <w:szCs w:val="24"/>
        </w:rPr>
        <w:t xml:space="preserve"> Другие действия, в частности действия со льдом и снегом, определены в 7.2 и пункте 10, а также в EN 13107.</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6.5.5.2</w:t>
      </w:r>
      <w:r>
        <w:rPr>
          <w:rFonts w:hint="default"/>
          <w:sz w:val="24"/>
          <w:szCs w:val="24"/>
        </w:rPr>
        <w:t xml:space="preserve"> Действия, вызванные наледью на канатах, должны приниматься во внимание, если только не существуют особо благоприятные климатические условия, и в этом случае различные участки канатной дороги должны быть исследованы индивидуально по мере необходимости.</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6.5.5.3</w:t>
      </w:r>
      <w:r>
        <w:rPr>
          <w:rFonts w:hint="default"/>
          <w:sz w:val="24"/>
          <w:szCs w:val="24"/>
        </w:rPr>
        <w:t xml:space="preserve"> Ледяная нагрузка на трос должна приниматься во внимание, если ледяная завеса не может быть своевременно удалена путем перемещения или приведения в действие троса другим способом.</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Когда длина поля наклона l* составляет от 0 м до 600 м или от 600 м до 2000 м, значение β устанавливается путем линейной интерполяции.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определения боковых отклонений канатов см. EN 12929-1.</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6.5.5 Другие действия</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6.5.5.1</w:t>
      </w:r>
      <w:r>
        <w:rPr>
          <w:rFonts w:hint="default"/>
          <w:sz w:val="24"/>
          <w:szCs w:val="24"/>
        </w:rPr>
        <w:t xml:space="preserve"> Другие действия, в частности действия со льдом и снегом, определены в 7.2 и пункте 10, а также в EN 13107.</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6.5.5.2</w:t>
      </w:r>
      <w:r>
        <w:rPr>
          <w:rFonts w:hint="default"/>
          <w:sz w:val="24"/>
          <w:szCs w:val="24"/>
        </w:rPr>
        <w:t xml:space="preserve"> Следует принимать во внимание действия, вызванные наледью на канатах, за исключением случаев, когда существуют особенно благоприятные климатические условия, и в этом случае различные участки канатной дороги должны быть осмотрены индивидуально в соответствии с необходимостью.</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6.5.5.3</w:t>
      </w:r>
      <w:r>
        <w:rPr>
          <w:rFonts w:hint="default"/>
          <w:sz w:val="24"/>
          <w:szCs w:val="24"/>
        </w:rPr>
        <w:t xml:space="preserve"> Необходимо учитывать ледяную нагрузку на кабель, если ледяная завеса не может быть своевременно удалена путем перемещения или приведения в действие кабеля другим способом.</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7 Проверка путем расчета для канатов</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7.1</w:t>
      </w:r>
      <w:r>
        <w:rPr>
          <w:rFonts w:hint="default"/>
          <w:b/>
          <w:bCs/>
          <w:sz w:val="24"/>
          <w:szCs w:val="24"/>
          <w:lang w:val="ru-RU"/>
        </w:rPr>
        <w:t xml:space="preserve"> </w:t>
      </w:r>
      <w:r>
        <w:rPr>
          <w:rFonts w:hint="default"/>
          <w:b/>
          <w:bCs/>
          <w:sz w:val="24"/>
          <w:szCs w:val="24"/>
        </w:rPr>
        <w:t>Общие положения</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7.1.1</w:t>
      </w:r>
      <w:r>
        <w:rPr>
          <w:rFonts w:hint="default"/>
          <w:sz w:val="24"/>
          <w:szCs w:val="24"/>
        </w:rPr>
        <w:t xml:space="preserve"> Для канатов должно быть проверено следующее:</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а) предельные силы натяжения каната и соответствующие углы наклона каната в опорах и точках крепления;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б) экстремальные коэффициенты безопасности при растяжении;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c) экстремальные опорные силы, действующие на линейные опорные конструкции (величина и направление силы);</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d) в случае воздушных канатных дорог - крайний прогиб в центре пролетов и в других точках, необходимых для проверки зазора.</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Если не требуется иного, предполагается, что канаты находятся в состоянии покоя или находятся в равномерном движении.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Если при расчете продольного профиля с учетом индивидуальных нагрузок предполагается ступенчатое перемещение груза, размер шага должен быть указан как максимум 2,00 м.</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 xml:space="preserve">7.1.2 </w:t>
      </w:r>
      <w:r>
        <w:rPr>
          <w:rFonts w:hint="default"/>
          <w:sz w:val="24"/>
          <w:szCs w:val="24"/>
        </w:rPr>
        <w:t>Следующее должно приниматься во внимание, в частности, при расчете сил натяжения в канатах:</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а) сопротивление трению натяжного устройства и неточность массы противовеса. Ими можно пренебречь, если их совокупное влияние на силу натяжения в канате без учета сил инерции от противовеса не превышает 3 %;</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lang w:val="en-US"/>
        </w:rPr>
        <w:t>b</w:t>
      </w:r>
      <w:r>
        <w:rPr>
          <w:rFonts w:hint="default"/>
          <w:sz w:val="24"/>
          <w:szCs w:val="24"/>
        </w:rPr>
        <w:t>)рабочий диапазон управляемых натяжных устройств, если влияние на силу натяжения в канате превышает 3 %;</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lang w:val="en-US"/>
        </w:rPr>
        <w:t>c</w:t>
      </w:r>
      <w:r>
        <w:rPr>
          <w:rFonts w:hint="default"/>
          <w:sz w:val="24"/>
          <w:szCs w:val="24"/>
        </w:rPr>
        <w:t>) поломка или полная потеря масла в гидравлической системе регулируемого натяжного устройства;</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d) сопротивление трению на опорах каната и элементах отклонения каната, по которым перемещается канат, в обоих направлениях движения;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e) требования к мощности механического оборудования, приводимого в движение тросом;</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f) влияние изменений температуры окружающей среды (см. 7.1.3);</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g) дополнительные воздействия, такие как, например, ветер и лед, если их влияние на силы натяжения в канате превышает 3% (см. 7.2.4).</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7.1.3</w:t>
      </w:r>
      <w:r>
        <w:rPr>
          <w:rFonts w:hint="default"/>
          <w:sz w:val="24"/>
          <w:szCs w:val="24"/>
        </w:rPr>
        <w:t xml:space="preserve"> Влияние температуры в соответствии с пунктом 7.1.2 f), как правило, должно учитывать разницу температур не менее 60°C; должны быть указаны фактические температурные пределы. Отклонения от этого значения могут быть допущены, если это оправдано местными климатическими условиями.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При наличии оборудования для регулировки силы натяжения троса или перемещения натяжной системы может учитываться разница температур в 30°C.</w:t>
      </w:r>
    </w:p>
    <w:p>
      <w:pPr>
        <w:autoSpaceDE w:val="0"/>
        <w:autoSpaceDN w:val="0"/>
        <w:adjustRightInd w:val="0"/>
        <w:spacing w:after="0" w:line="240" w:lineRule="auto"/>
        <w:ind w:left="0" w:leftChars="0" w:firstLine="723" w:firstLineChars="300"/>
        <w:jc w:val="both"/>
        <w:rPr>
          <w:rFonts w:hint="default"/>
          <w:sz w:val="24"/>
          <w:szCs w:val="24"/>
          <w:lang w:val="en-US"/>
        </w:rPr>
      </w:pPr>
      <w:r>
        <w:rPr>
          <w:rFonts w:hint="default"/>
          <w:b/>
          <w:bCs/>
          <w:sz w:val="24"/>
          <w:szCs w:val="24"/>
          <w:lang w:val="en-US"/>
        </w:rPr>
        <w:t>7.1.4</w:t>
      </w:r>
      <w:r>
        <w:rPr>
          <w:rFonts w:hint="default"/>
          <w:sz w:val="24"/>
          <w:szCs w:val="24"/>
          <w:lang w:val="en-US"/>
        </w:rPr>
        <w:t xml:space="preserve"> В случае однонаправленных воздушных канатных дорог, где опоры равномерно распределены по канату и прикреплены к канату с помощью фиксированных захватов, силы натяжения в канатах с распределенной нагрузкой могут быть рассчитаны с шагом опоры 40 м.</w:t>
      </w:r>
    </w:p>
    <w:p>
      <w:pPr>
        <w:autoSpaceDE w:val="0"/>
        <w:autoSpaceDN w:val="0"/>
        <w:adjustRightInd w:val="0"/>
        <w:spacing w:after="0" w:line="240" w:lineRule="auto"/>
        <w:ind w:left="0" w:leftChars="0" w:firstLine="723" w:firstLineChars="300"/>
        <w:jc w:val="both"/>
        <w:rPr>
          <w:rFonts w:hint="default"/>
          <w:sz w:val="24"/>
          <w:szCs w:val="24"/>
          <w:lang w:val="en-US"/>
        </w:rPr>
      </w:pPr>
      <w:r>
        <w:rPr>
          <w:rFonts w:hint="default"/>
          <w:b/>
          <w:bCs/>
          <w:sz w:val="24"/>
          <w:szCs w:val="24"/>
          <w:lang w:val="en-US"/>
        </w:rPr>
        <w:t>7.1.5</w:t>
      </w:r>
      <w:r>
        <w:rPr>
          <w:rFonts w:hint="default"/>
          <w:sz w:val="24"/>
          <w:szCs w:val="24"/>
          <w:lang w:val="en-US"/>
        </w:rPr>
        <w:t xml:space="preserve"> В случае натяжных устройств канатной дороги необходимо проверить необходимый ход с учетом влияния следующих факторов (влияние каждого из этих факторов должно быть определено количественно):</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эксплуатационные изменения провисания и упругого удлинения каната;</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б) изменение температуры;</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c) резерв для движения во время запуска и торможения;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d) резерв для постоянного удлинения каната;</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e) расстояние между переключателем положения остановки и буфером.</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Кроме того, для расчета хода натяжной системы, а также концевого буфера натяжной тележки должна учитываться нагрузка на лед в соответствии с пунктом 6.5.5.3, когда он не работает.</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В случае натяжных устройств для лыжных буксиров проверка в соответствии с требованиями a), b) и d) является адекватной.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Для величин (числовых значений) влияния b) и d) делается ссылка на EN 1908. </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Для модуля упругости транспортировочных и буксировочных канатов принимается значение 100 кН/мм2.</w:t>
      </w:r>
    </w:p>
    <w:p>
      <w:pPr>
        <w:autoSpaceDE w:val="0"/>
        <w:autoSpaceDN w:val="0"/>
        <w:adjustRightInd w:val="0"/>
        <w:spacing w:after="0" w:line="240" w:lineRule="auto"/>
        <w:ind w:left="0" w:leftChars="0" w:firstLine="723" w:firstLineChars="300"/>
        <w:jc w:val="both"/>
        <w:rPr>
          <w:rFonts w:hint="default"/>
          <w:sz w:val="24"/>
          <w:szCs w:val="24"/>
          <w:lang w:val="en-US"/>
        </w:rPr>
      </w:pPr>
      <w:r>
        <w:rPr>
          <w:rFonts w:hint="default"/>
          <w:b/>
          <w:bCs/>
          <w:sz w:val="24"/>
          <w:szCs w:val="24"/>
          <w:lang w:val="en-US"/>
        </w:rPr>
        <w:t>7.1.6</w:t>
      </w:r>
      <w:r>
        <w:rPr>
          <w:rFonts w:hint="default"/>
          <w:sz w:val="24"/>
          <w:szCs w:val="24"/>
          <w:lang w:val="en-US"/>
        </w:rPr>
        <w:t xml:space="preserve"> Следует избегать слишком длинных пролетов канатов в случае воздушных канатных дорог непрерывного движения с равным распределением носителей на обоих канатах. Изменение наклона касательных на концах пролета между ненагруженным канатом и нагруженным канатом не должно превышать 0,15 рад, при этом условия нагрузки на другие пролеты каната остаются неизменными. Если в случае воздушной канатной дороги непрерывного движения со стандартным равным распределением носителей на обоих канатах также реализуется режим работы с отдельными носителями и неравным распределением носителей, должны применяться требования к установкам канатной дороги с группами носителей.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Следует избегать чрезмерно высокой концентрации перевозчиков в случае групповых канатных дорог и сооружений канатных дорог с группами перевозчиков. Изменение наклона касательных на концах пролета между ненагруженным тросом и нагруженным тросом при любом положении груза носителя не может превышать 0,225 рад</w:t>
      </w:r>
      <w:r>
        <w:rPr>
          <w:rFonts w:hint="default"/>
          <w:sz w:val="24"/>
          <w:szCs w:val="24"/>
          <w:lang w:val="ru-RU"/>
        </w:rPr>
        <w:t>иан</w:t>
      </w:r>
      <w:r>
        <w:rPr>
          <w:rFonts w:hint="default"/>
          <w:sz w:val="24"/>
          <w:szCs w:val="24"/>
          <w:lang w:val="en-US"/>
        </w:rPr>
        <w:t>.</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7.2 Действия, которые необходимо учитывать при расчете продольного профиля и каната</w:t>
      </w:r>
    </w:p>
    <w:p>
      <w:pPr>
        <w:autoSpaceDE w:val="0"/>
        <w:autoSpaceDN w:val="0"/>
        <w:adjustRightInd w:val="0"/>
        <w:spacing w:after="0" w:line="240" w:lineRule="auto"/>
        <w:ind w:left="0" w:leftChars="0" w:firstLine="723" w:firstLineChars="300"/>
        <w:jc w:val="both"/>
        <w:rPr>
          <w:rFonts w:hint="default"/>
          <w:sz w:val="24"/>
          <w:szCs w:val="24"/>
          <w:lang w:val="en-US"/>
        </w:rPr>
      </w:pPr>
      <w:r>
        <w:rPr>
          <w:rFonts w:hint="default"/>
          <w:b/>
          <w:bCs/>
          <w:sz w:val="24"/>
          <w:szCs w:val="24"/>
          <w:lang w:val="en-US"/>
        </w:rPr>
        <w:t>7.2.1</w:t>
      </w:r>
      <w:r>
        <w:rPr>
          <w:rFonts w:hint="default"/>
          <w:sz w:val="24"/>
          <w:szCs w:val="24"/>
          <w:lang w:val="en-US"/>
        </w:rPr>
        <w:t xml:space="preserve"> </w:t>
      </w:r>
      <w:r>
        <w:rPr>
          <w:rFonts w:hint="default"/>
          <w:b/>
          <w:bCs/>
          <w:sz w:val="24"/>
          <w:szCs w:val="24"/>
          <w:lang w:val="en-US"/>
        </w:rPr>
        <w:t>Собственный вес и наложенные нагрузки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Собственный вес канатов и носителей должен быть рассчитан в соответствии с информацией, полученной от поставщиков.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В случае воздушных канатных дорог точность информации должна быть проверена до ввода установки в эксплуатацию. Если фактические собственные веса отличаются более чем на 3% от значений, учтенных в расчетах, расчет каната и продольного профиля должен быть повторен с учетом фактических значений.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б) Предполагается, что средняя масса человека составляет 75 кг. В случае канатных дорог, которые перевозят людей вместе с их снаряжением для зимних видов спорта, а также для лыжных буксиров, предполагается, что средняя масса человека составляет 80 кг.</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7.2.2 Динамические эффекты</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a) Предполагается, что начальное ускорение составляет не менее 0,15 м/с2.</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Для замедления должны приниматься следующие значения: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w:t>
      </w:r>
      <w:r>
        <w:rPr>
          <w:rFonts w:hint="default"/>
          <w:sz w:val="24"/>
          <w:szCs w:val="24"/>
          <w:lang w:val="ru-RU"/>
        </w:rPr>
        <w:t xml:space="preserve"> </w:t>
      </w:r>
      <w:r>
        <w:rPr>
          <w:rFonts w:hint="default"/>
          <w:sz w:val="24"/>
          <w:szCs w:val="24"/>
          <w:lang w:val="en-US"/>
        </w:rPr>
        <w:t>минимальное замедление, которое необходимо учитывать при торможении приводным двигателем, составляет 0,4 м/с2;</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w:t>
      </w:r>
      <w:r>
        <w:rPr>
          <w:rFonts w:hint="default"/>
          <w:sz w:val="24"/>
          <w:szCs w:val="24"/>
          <w:lang w:val="ru-RU"/>
        </w:rPr>
        <w:t xml:space="preserve"> </w:t>
      </w:r>
      <w:r>
        <w:rPr>
          <w:rFonts w:hint="default"/>
          <w:sz w:val="24"/>
          <w:szCs w:val="24"/>
          <w:lang w:val="en-US"/>
        </w:rPr>
        <w:t>в случае механического торможения должно учитываться максимальное замедление, возникающее при нормальной работе приводных тормозов.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Это максимальное значение должно определяться с учетом следующих опасностей: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i.травмирование людей в тележках или падение людей с тележек;</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ii.снятие канатов с их опор из-за больших колебаний при провисании;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iii.снятие тележек или тележек-носителей с рельсов или путевых канатов.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c) В исключительных случаях эксплуатации должны быть исследованы следующие динамические эффекты:</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w:t>
      </w:r>
      <w:r>
        <w:rPr>
          <w:rFonts w:hint="default"/>
          <w:sz w:val="24"/>
          <w:szCs w:val="24"/>
          <w:lang w:val="ru-RU"/>
        </w:rPr>
        <w:t xml:space="preserve"> </w:t>
      </w:r>
      <w:r>
        <w:rPr>
          <w:rFonts w:hint="default"/>
          <w:sz w:val="24"/>
          <w:szCs w:val="24"/>
          <w:lang w:val="en-US"/>
        </w:rPr>
        <w:t>в случае установки, имеющей два или более буксирных троса, динамические эффекты из-за разрыва одного буксирного троса;</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w:t>
      </w:r>
      <w:r>
        <w:rPr>
          <w:rFonts w:hint="default"/>
          <w:sz w:val="24"/>
          <w:szCs w:val="24"/>
          <w:lang w:val="ru-RU"/>
        </w:rPr>
        <w:t xml:space="preserve"> </w:t>
      </w:r>
      <w:r>
        <w:rPr>
          <w:rFonts w:hint="default"/>
          <w:sz w:val="24"/>
          <w:szCs w:val="24"/>
          <w:lang w:val="en-US"/>
        </w:rPr>
        <w:t>в случае установки с бортовыми тормозами динамические эффекты после включения бортового тормоза при неизменном буксировочном канате.</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7.2.3 Коэффициенты трения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Приведенные ниже коэффициенты трения, выраженные в процентах от несущих усилий, с учетом сопротивления изгибу канатов, включенного в сопротивление трению, должны приниматься для расчета продольного профиля и канатов:</w:t>
      </w:r>
    </w:p>
    <w:tbl>
      <w:tblPr>
        <w:tblStyle w:val="9"/>
        <w:tblW w:w="0" w:type="auto"/>
        <w:tblInd w:w="-34" w:type="dxa"/>
        <w:tblLayout w:type="autofit"/>
        <w:tblCellMar>
          <w:top w:w="0" w:type="dxa"/>
          <w:left w:w="108" w:type="dxa"/>
          <w:bottom w:w="0" w:type="dxa"/>
          <w:right w:w="108" w:type="dxa"/>
        </w:tblCellMar>
      </w:tblPr>
      <w:tblGrid>
        <w:gridCol w:w="568"/>
        <w:gridCol w:w="6258"/>
        <w:gridCol w:w="1254"/>
      </w:tblGrid>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ролики с резиновой подкладкой ролики с пластиковой подкладкой</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3,0 %;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ролики с резиновой подкладкой ролики с пластиковой подкладкой</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2,0 %;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шкивы с роликовыми подшипниками</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0,3 %;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шкивы с цапфовыми подшипниками</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1,0 %;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канаты на гусеничных канатных башмаках</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10,0 %;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гусеничные канатные роликовые цепи с роликовыми подшипниками</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0,5 %;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гусеничные канатные роликовые цепи с цапфовыми подшипниками</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1,0 %;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стальные колеса на опорах для фуникулеров без эксцентричного соединения тягового каната</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1,0 %;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стальные колеса на опорах для фуникулеров в случае горизонтальных изгибов или эксцентричного соединения тягового каната</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2,0 %;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пневматические шины на опоры для фуникулеров на бетонных или стальных балках без эксцентричного соединения тягового каната</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 xml:space="preserve"> 1,5 %;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пневматические шины на опорах для фуникулеров в случае горизонтальных изгибов или эксцентричного соединения тягового каната</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2,5 %;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несущие тележки ролики на подвесных канатных</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2,0 %;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дорогах стальные ролики на стальных поверхностях</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1,0 %;</w:t>
            </w:r>
          </w:p>
        </w:tc>
      </w:tr>
      <w:tr>
        <w:tblPrEx>
          <w:tblCellMar>
            <w:top w:w="0" w:type="dxa"/>
            <w:left w:w="108" w:type="dxa"/>
            <w:bottom w:w="0" w:type="dxa"/>
            <w:right w:w="108" w:type="dxa"/>
          </w:tblCellMar>
        </w:tblPrEx>
        <w:tc>
          <w:tcPr>
            <w:tcW w:w="568"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w:t>
            </w:r>
          </w:p>
        </w:tc>
        <w:tc>
          <w:tcPr>
            <w:tcW w:w="6258"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лыжи на лыжных буксировочных путях</w:t>
            </w:r>
          </w:p>
        </w:tc>
        <w:tc>
          <w:tcPr>
            <w:tcW w:w="1254" w:type="dxa"/>
            <w:shd w:val="clear" w:color="auto" w:fill="auto"/>
            <w:noWrap w:val="0"/>
            <w:vAlign w:val="top"/>
          </w:tcPr>
          <w:p>
            <w:pPr>
              <w:pStyle w:val="225"/>
              <w:autoSpaceDE w:val="0"/>
              <w:autoSpaceDN w:val="0"/>
              <w:adjustRightInd w:val="0"/>
              <w:jc w:val="both"/>
              <w:rPr>
                <w:rFonts w:hint="default" w:ascii="Times New Roman" w:hAnsi="Times New Roman" w:cs="Times New Roman"/>
                <w:sz w:val="20"/>
                <w:szCs w:val="20"/>
              </w:rPr>
            </w:pPr>
            <w:r>
              <w:rPr>
                <w:rFonts w:hint="default" w:ascii="Times New Roman" w:hAnsi="Times New Roman" w:eastAsia="MS Mincho" w:cs="Times New Roman"/>
                <w:sz w:val="20"/>
                <w:szCs w:val="20"/>
              </w:rPr>
              <w:t>10,0 %.</w:t>
            </w:r>
          </w:p>
        </w:tc>
      </w:tr>
    </w:tbl>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7.2.4 Действия от ветра и льда</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Должны быть приняты следующие случаи с одновременным воздействием ветра и льда:</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в эксплуатации: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 сила ветра в соответствии с пунктом 6.5.4, ледовая нагрузка в размере 40% от значения в соответствии с пунктом 6.5.5.3, 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 сила ветра на уровне 80% от значения в соответствии с 6.5.4, ледовая нагрузка в соответствии с 6.5.5.3;</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выведен из строя: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 сила ветра составляет 65% от значения в соответствии с пунктом 6.5.4, ледовая нагрузка составляет 40% от значения в соответствии с пунктом 6.5.5.3, 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 сила ветра на уровне 40% от значения в соответствии с 6.5.4, ледовая нагрузка в соответствии с 6.5.5.3.</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7.3 Коэффициент запаса прочности при растяжении – Общий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Для расчета коэффициента запаса прочности при растяжении вместо минимального разрывного усилия может использоваться испытательное разрывное усилие. </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7.4 Путевые канаты</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7.4.1 Силы натяжения в канате и провисание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Расчет должен производиться с учетом наиболее неблагоприятных нагрузок, положений груза и сил трения для пустого троса и для нагруженного троса с индивидуальными нагрузками.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В случае путевых канатов при расчете также должно учитываться влияние температуры в соответствии с 7.1.3 и воздействие ветра и льда в соответствии с 7.2.4.</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7.4.2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Коэффициент запаса прочности при растяжении при нормальных условиях эксплуатации должен быть не менее 3,15.</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С учетом действия любого несущего гусеничного тормоза коэффициент запаса прочности при растяжении должен составлять не менее 2,7.</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Принимая во внимание воздействие ветра и льда в нерабочее время в соответствии с пунктом 7.2.4 b), коэффициент запаса прочности при растяжении должен составлять не менее 2,25.</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7.4.3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Поперечные нагрузки на несущую:</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В дополнение к весу носителей, также должны приниматься во внимание действия движущегося троса на носителе: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1)коэффициент поперечной силы не должен быть меньше следующих значений: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i.10 для путевых канатов, натянутых с помощью грузов или гидравлических устройств;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ii.8 для путевых канатов с неподвижными концами.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 Коэффициент поперечной силы, приложенный к отдельным роликам в соответствии с EN 12927 (все части), должен быть не менее 80 при использовании материала для облицовки роликов с модулем упругости E &gt; 5000 Н/мм2 или 60, если модуль упругости составляет E 5000 Н/мм2.</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Максимально допустимая нагрузка на ролики несущей тележки приведена в EN 13796-1;</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для определения соотношения диаметров обратитесь к EN 12927 (все детали).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ОБРАТИТЕ внимание на примеры значений модуля E:</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резина E = 80 Н/мм2;</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пластик E = от 200 до 5 000 Н/мм2;</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бронза E = от 100 000 до 120 000 Н/мм2.</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7.4.4 Минимальные несущие усилия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Путевой канат не должен отрываться от своих опор, если: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 на опорных башнях максимальная сила натяжения троса без какого-либо воздействия ветра или льда увеличивается на 40 %;</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 на опорных конструкциях линии сжатия (например, на станциях) минимальное усилие натяжения троса уменьшается на 40 %.</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Угол отклонения пустого путевого каната в вертикальной плоскости должен составлять не менее 0,02 рад.</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c) Минимальная несущая сила на опорах должна быть больше, чем результирующая воздействия восходящего вертикального ветра, действующего на половину длины склона каждого соседнего пролета каната или, если применимо, на половину длины склона эквивалентных соседних пролетов каната в соответствии с EN 12929-1, при давлении ветра q = 0,5 кН/м2. При расчете минимальных несущих усилий влияние зажимов не должно приниматься во внимание.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d) Надежность крепления гусеничного троса на его башмаках должна быть проверена путем определения критического динамического давления qkrit для каждого конца башмака гусеничного троса с использованием уравнения (3) в d), где должны выполняться следующие условия: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1)для случая нагрузки при эксплуатации qkrit 250 Н/м2;</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2)для нерабочего случая нагрузки qkrit 1 000 Н/м2; </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 Критическое динамическое давление в нерабочем состоянии может составлять от 250 Н/м2 до 1000 Н/м2, если для предотвращения схода с рельсов используются дополнительные меры (например, применение противооткатных устройств).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 Обратитесь к EN 13223.</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 Критическое динамическое давление рассчитывается в соответствии с приведенным ниже уравнением (3)</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0" w:firstLineChars="300"/>
        <w:jc w:val="both"/>
        <w:rPr>
          <w:sz w:val="24"/>
          <w:szCs w:val="24"/>
        </w:rPr>
      </w:pPr>
      <w:r>
        <w:rPr>
          <w:position w:val="-30"/>
          <w:sz w:val="24"/>
          <w:szCs w:val="24"/>
        </w:rPr>
        <w:object>
          <v:shape id="_x0000_i1027" o:spt="75" type="#_x0000_t75" style="height:35.25pt;width:189pt;" o:ole="t" fillcolor="#000011" filled="f" o:preferrelative="t" stroked="f" coordsize="21600,21600">
            <v:path/>
            <v:fill on="f" focussize="0,0"/>
            <v:stroke on="f"/>
            <v:imagedata r:id="rId13" o:title=""/>
            <o:lock v:ext="edit" aspectratio="t"/>
            <w10:wrap type="none"/>
            <w10:anchorlock/>
          </v:shape>
          <o:OLEObject Type="Embed" ProgID="Equation.DSMT4" ShapeID="_x0000_i1027" DrawAspect="Content" ObjectID="_1468075726" r:id="rId12">
            <o:LockedField>false</o:LockedField>
          </o:OLEObject>
        </w:objec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Где:</w:t>
      </w:r>
    </w:p>
    <w:tbl>
      <w:tblPr>
        <w:tblStyle w:val="9"/>
        <w:tblW w:w="0" w:type="auto"/>
        <w:tblInd w:w="806" w:type="dxa"/>
        <w:tblLayout w:type="autofit"/>
        <w:tblCellMar>
          <w:top w:w="0" w:type="dxa"/>
          <w:left w:w="108" w:type="dxa"/>
          <w:bottom w:w="0" w:type="dxa"/>
          <w:right w:w="108" w:type="dxa"/>
        </w:tblCellMar>
      </w:tblPr>
      <w:tblGrid>
        <w:gridCol w:w="685"/>
        <w:gridCol w:w="7717"/>
      </w:tblGrid>
      <w:tr>
        <w:tblPrEx>
          <w:tblCellMar>
            <w:top w:w="0" w:type="dxa"/>
            <w:left w:w="108" w:type="dxa"/>
            <w:bottom w:w="0" w:type="dxa"/>
            <w:right w:w="108" w:type="dxa"/>
          </w:tblCellMar>
        </w:tblPrEx>
        <w:tc>
          <w:tcPr>
            <w:tcW w:w="685"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d</w:t>
            </w:r>
          </w:p>
        </w:tc>
        <w:tc>
          <w:tcPr>
            <w:tcW w:w="7717"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 номинальный диаметр гусеничного троса [м];</w:t>
            </w:r>
          </w:p>
        </w:tc>
      </w:tr>
      <w:tr>
        <w:tblPrEx>
          <w:tblCellMar>
            <w:top w:w="0" w:type="dxa"/>
            <w:left w:w="108" w:type="dxa"/>
            <w:bottom w:w="0" w:type="dxa"/>
            <w:right w:w="108" w:type="dxa"/>
          </w:tblCellMar>
        </w:tblPrEx>
        <w:tc>
          <w:tcPr>
            <w:tcW w:w="685"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R</w:t>
            </w:r>
          </w:p>
        </w:tc>
        <w:tc>
          <w:tcPr>
            <w:tcW w:w="7717"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 радиус кривизны башмака гусеничного каната [м];</w:t>
            </w:r>
          </w:p>
        </w:tc>
      </w:tr>
      <w:tr>
        <w:tblPrEx>
          <w:tblCellMar>
            <w:top w:w="0" w:type="dxa"/>
            <w:left w:w="108" w:type="dxa"/>
            <w:bottom w:w="0" w:type="dxa"/>
            <w:right w:w="108" w:type="dxa"/>
          </w:tblCellMar>
        </w:tblPrEx>
        <w:tc>
          <w:tcPr>
            <w:tcW w:w="685"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α</w:t>
            </w:r>
          </w:p>
        </w:tc>
        <w:tc>
          <w:tcPr>
            <w:tcW w:w="7717"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равен 90° минус половина угла намотки на башмак;</w:t>
            </w:r>
          </w:p>
        </w:tc>
      </w:tr>
      <w:tr>
        <w:tblPrEx>
          <w:tblCellMar>
            <w:top w:w="0" w:type="dxa"/>
            <w:left w:w="108" w:type="dxa"/>
            <w:bottom w:w="0" w:type="dxa"/>
            <w:right w:w="108" w:type="dxa"/>
          </w:tblCellMar>
        </w:tblPrEx>
        <w:tc>
          <w:tcPr>
            <w:tcW w:w="685"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ΣT</w:t>
            </w:r>
          </w:p>
        </w:tc>
        <w:tc>
          <w:tcPr>
            <w:tcW w:w="7717"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представляет собой сумму минимального усилия натяжения гусеничного троса и, при необходимости, минимального усилия натяжения тягового троса; см. следующий параграф [N];</w:t>
            </w:r>
          </w:p>
        </w:tc>
      </w:tr>
      <w:tr>
        <w:tblPrEx>
          <w:tblCellMar>
            <w:top w:w="0" w:type="dxa"/>
            <w:left w:w="108" w:type="dxa"/>
            <w:bottom w:w="0" w:type="dxa"/>
            <w:right w:w="108" w:type="dxa"/>
          </w:tblCellMar>
        </w:tblPrEx>
        <w:tc>
          <w:tcPr>
            <w:tcW w:w="685"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c</w:t>
            </w:r>
            <w:r>
              <w:rPr>
                <w:rStyle w:val="228"/>
                <w:rFonts w:hint="default" w:ascii="Times New Roman" w:hAnsi="Times New Roman" w:eastAsia="MS Mincho" w:cs="Times New Roman"/>
                <w:sz w:val="20"/>
                <w:szCs w:val="20"/>
              </w:rPr>
              <w:t>f</w:t>
            </w:r>
          </w:p>
        </w:tc>
        <w:tc>
          <w:tcPr>
            <w:tcW w:w="7717"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являются соответствующими коэффициентами силы для канатов и держателя;</w:t>
            </w:r>
          </w:p>
        </w:tc>
      </w:tr>
      <w:tr>
        <w:tblPrEx>
          <w:tblCellMar>
            <w:top w:w="0" w:type="dxa"/>
            <w:left w:w="108" w:type="dxa"/>
            <w:bottom w:w="0" w:type="dxa"/>
            <w:right w:w="108" w:type="dxa"/>
          </w:tblCellMar>
        </w:tblPrEx>
        <w:tc>
          <w:tcPr>
            <w:tcW w:w="685" w:type="dxa"/>
            <w:shd w:val="clear" w:color="auto" w:fill="auto"/>
            <w:noWrap w:val="0"/>
            <w:vAlign w:val="top"/>
          </w:tcPr>
          <w:p>
            <w:pPr>
              <w:pStyle w:val="225"/>
              <w:autoSpaceDE w:val="0"/>
              <w:autoSpaceDN w:val="0"/>
              <w:adjustRightInd w:val="0"/>
              <w:rPr>
                <w:rStyle w:val="229"/>
                <w:rFonts w:hint="default" w:ascii="Times New Roman" w:hAnsi="Times New Roman" w:cs="Times New Roman"/>
                <w:sz w:val="20"/>
                <w:szCs w:val="20"/>
              </w:rPr>
            </w:pPr>
            <w:r>
              <w:rPr>
                <w:rStyle w:val="227"/>
                <w:rFonts w:hint="default" w:ascii="Times New Roman" w:hAnsi="Times New Roman" w:cs="Times New Roman"/>
                <w:sz w:val="20"/>
                <w:szCs w:val="20"/>
              </w:rPr>
              <w:t>A</w:t>
            </w:r>
            <w:r>
              <w:rPr>
                <w:rStyle w:val="228"/>
                <w:rFonts w:hint="default" w:ascii="Times New Roman" w:hAnsi="Times New Roman" w:eastAsia="MS Mincho" w:cs="Times New Roman"/>
                <w:sz w:val="20"/>
                <w:szCs w:val="20"/>
              </w:rPr>
              <w:t>ref</w:t>
            </w:r>
          </w:p>
        </w:tc>
        <w:tc>
          <w:tcPr>
            <w:tcW w:w="7717"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являются соответствующими областями, пораженными ветром [м2].</w:t>
            </w:r>
          </w:p>
        </w:tc>
      </w:tr>
    </w:tbl>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Сила натяжения в тяговом канате должна учитываться при расчете ΣT, если воздействия от тягового и балластного канатов и от носителя передаются на путевой канат (например, через подвески тягового каната или носитель). При этом предполагается, что во время работы опора находится непосредственно рядом с опорой; в нерабочем состоянии должны приниматься во внимание пустые канаты.</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 xml:space="preserve"> Для вычисления Σ(cf Aref) действия движущихся канатов и/или носителя должны приниматься во внимание таким же образом, как и требования вышеуказанного пункта.</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 xml:space="preserve"> Должна учитываться длина каната, равная половине длины уклона пролета, непосредственно примыкающего к опоре, или, если применимо, половине эквивалентной длины уклона этого пролета в соответствии с EN 12929-1.</w:t>
      </w:r>
    </w:p>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7.5 Буксирные и балластные канаты</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7.5.1 Силы натяжения в канате и провисание</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Расчеты должны производиться с учетом наиболее неблагоприятных нагрузок и положений нагрузки с индивидуальными нагрузками.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В случае однонаправленных воздушных канатных дорог, если предусмотрена эксплуатация с пустым буксирным тросом, даже если только на одном пролете, это должно быть принято во внимание.</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7.5.2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a)Коэффициент запаса прочности при растяжении должен быть не менее следующих значений с учетом динамических воздействий в соответствии с b), для:</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1)фуникулерные железные дороги 4,2;</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2)реверсивные воздушные канатные дороги с тросовым тормозом 3,8;</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3) двухкабельные однонаправленные воздушные канатные дороги 4,0.</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en-US"/>
        </w:rPr>
        <w:t>b</w:t>
      </w:r>
      <w:r>
        <w:rPr>
          <w:rFonts w:hint="default"/>
          <w:sz w:val="24"/>
          <w:szCs w:val="24"/>
          <w:lang w:val="ru-RU"/>
        </w:rPr>
        <w:t>) Основное усилие натяжения имеет решающее значение для расчета наименьшего коэффициента запаса прочности при растяжении. Если регулирование основного усилия натяжения происходит только после отклонения более чем на 5% по отношению к максимальному усилию натяжения троса, необходимо учитывать дополнительную секцию.</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c) Динамические воздействия в соответствии с 7.2.2 a) и b) должны приниматься во внимание приблизительно путем учета инерции масс, перемещаемых канатом, прочно прикрепленных к канату и равномерно распределенных вдоль него.</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en-US"/>
        </w:rPr>
        <w:t xml:space="preserve">d) </w:t>
      </w:r>
      <w:r>
        <w:rPr>
          <w:rFonts w:hint="default"/>
          <w:sz w:val="24"/>
          <w:szCs w:val="24"/>
          <w:lang w:val="ru-RU"/>
        </w:rPr>
        <w:t>Коэффициент запаса прочности при растяжении не должен превышать 20 для сращенных канатов, при этом динамические эффекты не принимаются во внимание.</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e) В случае фуникулеров и двухкабельных реверсивных воздушных канатных дорог минимальное усилие натяжения тягового троса должно быть достаточным для того, чтобы бортовой тормоз не был случайно отпущен при нормальных условиях эксплуатации.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f) с учетом динамических воздействий, предусмотренных в 7.2.2 c), коэффициент запаса прочности при растяжении должен быть не менее 1,5.</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g) Принимая во внимание воздействие ветра и льда в нерабочее время в соответствии с пунктом 7.2.4 b), коэффициент запаса прочности при растяжении должен быть не менее 2,25.</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en-US"/>
        </w:rPr>
        <w:t>h</w:t>
      </w:r>
      <w:r>
        <w:rPr>
          <w:rFonts w:hint="default"/>
          <w:sz w:val="24"/>
          <w:szCs w:val="24"/>
          <w:lang w:val="ru-RU"/>
        </w:rPr>
        <w:t>) В случае приводных шкивов с несколькими канавками надежность троса с учетом дополнительных коэффициентов безопасности при растяжении, возникающих из-за различий в диаметрах канавок, рассчитанных с учетом 1,3-кратного минимального требуемого коэффициента трения, не должна превышать значения 2,5.</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7.5.3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a) Для коэффициента поперечной силы должны приниматься во внимание правила EN 12927 (все части).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Что касается соотношения диаметров, обратитесь к EN 12927 (все детали).</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7.5.4</w:t>
      </w:r>
      <w:r>
        <w:rPr>
          <w:rFonts w:hint="default"/>
          <w:b/>
          <w:bCs/>
          <w:sz w:val="24"/>
          <w:szCs w:val="24"/>
          <w:lang w:val="ru-RU"/>
        </w:rPr>
        <w:t xml:space="preserve"> </w:t>
      </w:r>
      <w:r>
        <w:rPr>
          <w:rFonts w:hint="default"/>
          <w:b/>
          <w:bCs/>
          <w:sz w:val="24"/>
          <w:szCs w:val="24"/>
          <w:lang w:val="en-US"/>
        </w:rPr>
        <w:t>Безопасность подшипников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Движущийся трос не должен отрываться от своих опор, за исключением случаев, когда перевозчик проезжает мимо:</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в случае фуникулерных железных дорог должно быть проверено путем расчета, что движущийся трос не отрывается от роликов в зонах с вогнутыми профилями линий, принимая во внимание динамическое воздействие на натяжение троса в этих зонах в соответствии с 7.2.2 а) и б). Исключение: см. EN 12929-1.</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в случае подвесных канатных дорог путем расчета должно быть проверено, что канат не отрывается от роликов, если максимальное натяжение каната при равномерном движении увеличивается на 40%.</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 xml:space="preserve"> В случае роликов опор подъемного каната эту высоту не нужно принимать во внимание, если неправильное положение каната само по себе привело к остановке канатной дороги.</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7.6</w:t>
      </w:r>
      <w:r>
        <w:rPr>
          <w:rFonts w:hint="default"/>
          <w:b/>
          <w:bCs/>
          <w:sz w:val="24"/>
          <w:szCs w:val="24"/>
          <w:lang w:val="ru-RU"/>
        </w:rPr>
        <w:t xml:space="preserve"> </w:t>
      </w:r>
      <w:r>
        <w:rPr>
          <w:rFonts w:hint="default"/>
          <w:b/>
          <w:bCs/>
          <w:sz w:val="24"/>
          <w:szCs w:val="24"/>
          <w:lang w:val="en-US"/>
        </w:rPr>
        <w:t>Транспортировочные канаты воздушных канатных дорог</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7.6.1 Силы натяжения в канате и провисание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Точный метод:</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Расчет должен производиться с учетом наиболее неблагоприятных нагрузок и наиболее неблагоприятных положений нагрузки при отдельных нагрузках.</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(Это представляет собой основное требование. Чтобы определить силы натяжения в канатах, опорные усилия на канатах и провисание в каждой точке установки, следует определить наиболее неблагоприятные условия нагрузки для всей канатной дороги. Этот метод обычно используется для однокабельных реверсивных воздушных канатных дорог, групповых канатных дорог или канатных дорог со значительными индивидуальными нагрузками и большим шагом несущей.)</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Если предусматривается эксплуатация с пустым тросом для переноски, даже если только на определенных пролетах, это должно приниматься во внимание при расчете сил натяжения в тросах, провисания и несущих усилий от канатов.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Приближенные методы:</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Если выполняются условия 7.1.4, то несущие усилия в канатах и провисание могут быть рассчитаны приблизительно следующим образом: минимальные и максимальные усилия натяжения в канате на каждой опоре должны быть объединены соответственно с минимальными и максимальными нагрузками в соответствующем пролете.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Если предусматривается эксплуатация с пустым тросом для переноски, даже если только на определенных пролетах, это должно приниматься во внимание при расчете сил натяжения в тросах, провисания и несущих усилий от канатов.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Если используются другие методы аппроксимации (например, предположение о равномерно распределенных нагрузках, нагрузках не в гору и не под уклон от опоры), необходимо проверить, что допущения являются консервативными для каждого полученного значения (провисание, несущая сила в канате, угол наклона каната и т.д.).</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c) Для буксировочных канатов с неподвижными приводными и возвратными шкивами также следует учитывать влияние температуры в соответствии с 7.1.3 и действия ветра и льда в соответствии с 7.2.4.</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7.6.2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a) Коэффициент запаса прочности при растяжении должен быть не менее 4,0 с учетом динамических воздействий в соответствии с b).</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Динамические воздействия в соответствии с 7.2.2 a) и b) должны приниматься во внимание приблизительно путем учета инерции масс, перемещаемых канатом, которые должны быть прочно прикреплены к канату и равномерно распределены вдоль него.</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c) Коэффициент запаса прочности при растяжении не должен превышать 20 при длительном соединении, при этом динамические эффекты не принимаются во внимание.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d) Принимая во внимание воздействие ветра и льда в нерабочее время в соответствии с пунктом 7.2.4 b), коэффициент запаса прочности при растяжении должен быть не менее 2,25.</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e) Основное усилие натяжения имеет решающее значение для расчета наименьшего коэффициента запаса прочности при растяжении. Если регулирование основного усилия натяжения происходит только после отклонения более чем на 5% по отношению к максимальному усилию натяжения троса, необходимо учитывать дополнительную секцию.</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7.6.3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a) Коэффициент поперечной силы должен соответствовать требованиям стандарта EN 12927 (все части).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Для определения соотношения диаметров обратитесь к EN 12927 (все детали).</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7.6.4 Минимальные несущие усилия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Минимальное усилие, оказываемое на опору подшипника, должно:</w:t>
      </w:r>
    </w:p>
    <w:p>
      <w:pPr>
        <w:numPr>
          <w:ilvl w:val="0"/>
          <w:numId w:val="3"/>
        </w:num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в рабочем состоянии при равномерном перемещении соответствуют по меньшей мере 1,5-кратной силе ветра, возникающей в результате воздействия динамического давления q 0,25 кН/м2 на пустой или ненагруженный канат по длине самого длинного соседнего пролета;</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 неработающий, соответствует, по меньшей мере, силе ветра, возникающей в результате динамического давления q 0,80 кН/м2, превышающего половину суммы длин поясов соседних пролетов на пустом канате или, если опоры остаются на канате, когда установка не работает, на неза</w:t>
      </w:r>
      <w:r>
        <w:rPr>
          <w:rFonts w:hint="default"/>
          <w:sz w:val="24"/>
          <w:szCs w:val="24"/>
          <w:lang w:val="ru-RU"/>
        </w:rPr>
        <w:t>груженном канате</w:t>
      </w:r>
      <w:r>
        <w:rPr>
          <w:rFonts w:hint="default"/>
          <w:sz w:val="24"/>
          <w:szCs w:val="24"/>
          <w:lang w:val="en-US"/>
        </w:rPr>
        <w:t>.</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Минимальное несущее усилие на опоре сжатия при равномерном перемещении должно соответствовать, по меньшей мере, 1,5-кратной результирующей силе ветра; сила ветра определяется в соответствии с a), но вместо пустого троса или ненагруженного троса должен учитываться нагруженный трос.</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c) Транспортировочный трос не должен отрываться от несущих опор, когда максимальное усилие натяжения троса в соответствии с 7.1.2 увеличивается на 40% на пролетах, прилегающих к исследуемой опоре.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d) Транспортировочный трос не должен отрываться на опорах сжатия, когда минимальное усилие натяжения троса в соответствии с 7.1.2 уменьшается на 20% и одновременно увеличивается на 25% нагрузка на пролеты троса, прилегающие к опоре.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e) При полной потере давления в гидравлической системе, в случае опорных конструкций линии сжатия и с учетом индивидуальной нагрузки в наиболее неблагоприятных случаях нагрузки, минимальная нагрузка на буксирный трос при качении не должна превышать 200 Н.</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f) если транспортировочный трос перемещается равномерно, минимальная нагрузка на ролики должна составлять не менее 500 Н и соответствовать уравнению.</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0" w:firstLineChars="300"/>
        <w:jc w:val="both"/>
        <w:rPr>
          <w:rFonts w:hint="default"/>
          <w:sz w:val="24"/>
          <w:szCs w:val="24"/>
          <w:lang w:val="en-US"/>
        </w:rPr>
      </w:pPr>
      <w:r>
        <w:rPr>
          <w:position w:val="-14"/>
          <w:sz w:val="24"/>
          <w:szCs w:val="24"/>
        </w:rPr>
        <w:object>
          <v:shape id="_x0000_i1028" o:spt="75" type="#_x0000_t75" style="height:20.25pt;width:126pt;" o:ole="t" fillcolor="#000011" filled="f" o:preferrelative="t" stroked="f" coordsize="21600,21600">
            <v:path/>
            <v:fill on="f" focussize="0,0"/>
            <v:stroke on="f"/>
            <v:imagedata r:id="rId15" o:title=""/>
            <o:lock v:ext="edit" aspectratio="t"/>
            <w10:wrap type="none"/>
            <w10:anchorlock/>
          </v:shape>
          <o:OLEObject Type="Embed" ProgID="Equation.DSMT4" ShapeID="_x0000_i1028" DrawAspect="Content" ObjectID="_1468075727" r:id="rId14">
            <o:LockedField>false</o:LockedField>
          </o:OLEObject>
        </w:objec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Где:</w:t>
      </w:r>
    </w:p>
    <w:tbl>
      <w:tblPr>
        <w:tblStyle w:val="9"/>
        <w:tblW w:w="0" w:type="auto"/>
        <w:tblInd w:w="817" w:type="dxa"/>
        <w:tblLayout w:type="autofit"/>
        <w:tblCellMar>
          <w:top w:w="0" w:type="dxa"/>
          <w:left w:w="108" w:type="dxa"/>
          <w:bottom w:w="0" w:type="dxa"/>
          <w:right w:w="108" w:type="dxa"/>
        </w:tblCellMar>
      </w:tblPr>
      <w:tblGrid>
        <w:gridCol w:w="567"/>
        <w:gridCol w:w="7796"/>
      </w:tblGrid>
      <w:tr>
        <w:tblPrEx>
          <w:tblCellMar>
            <w:top w:w="0" w:type="dxa"/>
            <w:left w:w="108" w:type="dxa"/>
            <w:bottom w:w="0" w:type="dxa"/>
            <w:right w:w="108" w:type="dxa"/>
          </w:tblCellMar>
        </w:tblPrEx>
        <w:tc>
          <w:tcPr>
            <w:tcW w:w="567"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A</w:t>
            </w:r>
          </w:p>
        </w:tc>
        <w:tc>
          <w:tcPr>
            <w:tcW w:w="7796"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является минимальным давлением ролика [Н];</w:t>
            </w:r>
          </w:p>
        </w:tc>
      </w:tr>
      <w:tr>
        <w:tblPrEx>
          <w:tblCellMar>
            <w:top w:w="0" w:type="dxa"/>
            <w:left w:w="108" w:type="dxa"/>
            <w:bottom w:w="0" w:type="dxa"/>
            <w:right w:w="108" w:type="dxa"/>
          </w:tblCellMar>
        </w:tblPrEx>
        <w:tc>
          <w:tcPr>
            <w:tcW w:w="567"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d</w:t>
            </w:r>
          </w:p>
        </w:tc>
        <w:tc>
          <w:tcPr>
            <w:tcW w:w="7796"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номинальный диаметр каната [мм];</w:t>
            </w:r>
          </w:p>
        </w:tc>
      </w:tr>
      <w:tr>
        <w:tblPrEx>
          <w:tblCellMar>
            <w:top w:w="0" w:type="dxa"/>
            <w:left w:w="108" w:type="dxa"/>
            <w:bottom w:w="0" w:type="dxa"/>
            <w:right w:w="108" w:type="dxa"/>
          </w:tblCellMar>
        </w:tblPrEx>
        <w:tc>
          <w:tcPr>
            <w:tcW w:w="567"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D</w:t>
            </w:r>
            <w:r>
              <w:rPr>
                <w:rStyle w:val="230"/>
                <w:rFonts w:hint="default" w:ascii="Times New Roman" w:hAnsi="Times New Roman" w:eastAsia="MS Mincho" w:cs="Times New Roman"/>
                <w:sz w:val="20"/>
                <w:szCs w:val="20"/>
              </w:rPr>
              <w:t>1</w:t>
            </w:r>
          </w:p>
        </w:tc>
        <w:tc>
          <w:tcPr>
            <w:tcW w:w="7796"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представляет собой диаметр наружной щеки ролика [мм], а;</w:t>
            </w:r>
          </w:p>
        </w:tc>
      </w:tr>
      <w:tr>
        <w:tblPrEx>
          <w:tblCellMar>
            <w:top w:w="0" w:type="dxa"/>
            <w:left w:w="108" w:type="dxa"/>
            <w:bottom w:w="0" w:type="dxa"/>
            <w:right w:w="108" w:type="dxa"/>
          </w:tblCellMar>
        </w:tblPrEx>
        <w:tc>
          <w:tcPr>
            <w:tcW w:w="567" w:type="dxa"/>
            <w:shd w:val="clear" w:color="auto" w:fill="auto"/>
            <w:noWrap w:val="0"/>
            <w:vAlign w:val="top"/>
          </w:tcPr>
          <w:p>
            <w:pPr>
              <w:pStyle w:val="225"/>
              <w:autoSpaceDE w:val="0"/>
              <w:autoSpaceDN w:val="0"/>
              <w:adjustRightInd w:val="0"/>
              <w:rPr>
                <w:rFonts w:hint="default" w:ascii="Times New Roman" w:hAnsi="Times New Roman" w:cs="Times New Roman"/>
                <w:sz w:val="20"/>
                <w:szCs w:val="20"/>
              </w:rPr>
            </w:pPr>
            <w:r>
              <w:rPr>
                <w:rStyle w:val="227"/>
                <w:rFonts w:hint="default" w:ascii="Times New Roman" w:hAnsi="Times New Roman" w:cs="Times New Roman"/>
                <w:sz w:val="20"/>
                <w:szCs w:val="20"/>
              </w:rPr>
              <w:t>D</w:t>
            </w:r>
            <w:r>
              <w:rPr>
                <w:rStyle w:val="230"/>
                <w:rFonts w:hint="default" w:ascii="Times New Roman" w:hAnsi="Times New Roman" w:eastAsia="MS Mincho" w:cs="Times New Roman"/>
                <w:sz w:val="20"/>
                <w:szCs w:val="20"/>
              </w:rPr>
              <w:t>2</w:t>
            </w:r>
          </w:p>
        </w:tc>
        <w:tc>
          <w:tcPr>
            <w:tcW w:w="7796" w:type="dxa"/>
            <w:shd w:val="clear" w:color="auto" w:fill="auto"/>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cs="Times New Roman"/>
                <w:sz w:val="20"/>
                <w:szCs w:val="20"/>
              </w:rPr>
              <w:t>диаметр в нижней части канавки нового вкладыша подшипника [мм].</w:t>
            </w:r>
          </w:p>
        </w:tc>
      </w:tr>
    </w:tbl>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В случае грузов, при которых не перевозятся пассажиры (исключительные грузы, например, загрузка установки, поездки с пустым тросом и т.д.), значение, выраженное вышеуказанным условием, может быть уменьшено вдвое.</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Для проектирования и изготовления роликов обратитесь к EN 13223.</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g) Батареи опорно-компрессионных роликов должны быть установлены таким образом, чтобы в нейтральном положении буксировочного троса (опорное усилие в тросе = нулю) на роликах поддерживалось минимальное давление на ролики в соответствии с пунктом f). Во всех других случаях нагрузки ролики с более низким давлением на ролики не должны покидать канат.</w:t>
      </w:r>
    </w:p>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7.7 Буксирные тросы лыжных буксиров</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7.7.1 Силы натяжения в канате и провисание</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Несущие усилия и провисание могут быть определены приблизительно, предполагая, что отдельные нагрузки равномерно распределены на тяговом канате. Расчет должен производиться для равномерного перемещения и для установки в состоянии покоя.</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7.7.2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а) Коэффициент запаса прочности при растяжении должен быть не менее 4,0.</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en-US"/>
        </w:rPr>
        <w:t>b</w:t>
      </w:r>
      <w:r>
        <w:rPr>
          <w:rFonts w:hint="default"/>
          <w:sz w:val="24"/>
          <w:szCs w:val="24"/>
          <w:lang w:val="ru-RU"/>
        </w:rPr>
        <w:t>) Основное усилие натяжения имеет решающее значение для расчета наименьшего коэффициента запаса прочности при растяжении. Если регулирование основного усилия натяжения происходит только после отклонения более чем на 5% по отношению к максимальному усилию натяжения троса, необходимо учитывать дополнительную секцию.</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c) Коэффициент запаса прочности при растяжении не должен превышать 20.</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7.7.3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Для определения соотношения диаметров обратитесь к EN 1908, EN 12927 (все детали) и EN 13223.</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7.7.4 Минимальные несущие усилия</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a) Минимальное усилие опоры на ролики буксировочного троса роликовой батареи в случае наиболее неблагоприятной нагрузки не должно превышать следующих значений:</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1)для опорных роликов 500 Н;</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2)для компрессионных роликов 900 Н.</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Эти значения не могут быть ниже для направляющих роликов, опорно-сжатых роликовых батарей и роликовых батарей в зоне загрузки.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en-US"/>
        </w:rPr>
        <w:t>b</w:t>
      </w:r>
      <w:r>
        <w:rPr>
          <w:rFonts w:hint="default"/>
          <w:sz w:val="24"/>
          <w:szCs w:val="24"/>
          <w:lang w:val="ru-RU"/>
        </w:rPr>
        <w:t>) Нагрузка на шкив на опорные конструкции линии в наиболее неблагоприятном случае нагрузки не должна превышать следующих значений:</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1)для опорных шкивов 1 000 Н;</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2)для компрессионных шкивов 1 800 Н.</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Эти значения не могут быть ниже для направляющих шкивов, опорно-компрессионных шкивов и канатных шкивов, примыкающих к зонам загрузки.</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7.8</w:t>
      </w:r>
      <w:r>
        <w:rPr>
          <w:rFonts w:hint="default"/>
          <w:b/>
          <w:bCs/>
          <w:sz w:val="24"/>
          <w:szCs w:val="24"/>
          <w:lang w:val="ru-RU"/>
        </w:rPr>
        <w:t xml:space="preserve"> </w:t>
      </w:r>
      <w:r>
        <w:rPr>
          <w:rFonts w:hint="default"/>
          <w:b/>
          <w:bCs/>
          <w:sz w:val="24"/>
          <w:szCs w:val="24"/>
          <w:lang w:val="en-US"/>
        </w:rPr>
        <w:t>Натяжные канаты</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7.8.1 Силы натяжения в канатах</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Силы натяжения в канатах должны быть взяты из расчета продольного профиля при равномерном перемещении.</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7.8.2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Коэффициент запаса прочности при растяжении должен быть не менее 5,0.</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Если невозможно обеспечить равновесие нагрузки между двумя или более параллельными натяжными канатами, коэффициент запаса прочности при растяжении каждого каната должен быть не менее 6,0.</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7.8.3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Для определения соотношения диаметров обратитесь к EN 12927 (все детали).</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7.9</w:t>
      </w:r>
      <w:r>
        <w:rPr>
          <w:rFonts w:hint="default"/>
          <w:b/>
          <w:bCs/>
          <w:sz w:val="24"/>
          <w:szCs w:val="24"/>
          <w:lang w:val="ru-RU"/>
        </w:rPr>
        <w:t xml:space="preserve"> </w:t>
      </w:r>
      <w:r>
        <w:rPr>
          <w:rFonts w:hint="default"/>
          <w:b/>
          <w:bCs/>
          <w:sz w:val="24"/>
          <w:szCs w:val="24"/>
          <w:lang w:val="en-US"/>
        </w:rPr>
        <w:t>Эвакуационные канаты</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7.9.1 Силы натяжения в канатах, провисание, опорные усилия,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Расчет сил натяжения в канатах, несущих усилий, напряжений провисания и изгиба должен выполняться, как указано в 7.5 или 7.6.</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7.9.2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Для бесконечных эвакуационных канатов: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1)Коэффициент запаса прочности при растяжении должен быть не менее 2,9</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 Основное усилие натяжения имеет решающее значение для расчета наименьшего коэффициента запаса прочности при растяжении. Если регулирование основного усилия натяжения происходит только после отклонения более чем на 5% по отношению к максимальному усилию натяжения троса, необходимо учитывать дополнительную секцию.</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3) Принимая во внимание действия ветра, выведенного из строя в соответствии с пунктом 6.5.4, коэффициент запаса прочности при растяжении должен быть не менее 2,75.</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4)</w:t>
      </w:r>
      <w:r>
        <w:rPr>
          <w:rFonts w:hint="default"/>
          <w:sz w:val="24"/>
          <w:szCs w:val="24"/>
          <w:lang w:val="ru-RU"/>
        </w:rPr>
        <w:t xml:space="preserve"> </w:t>
      </w:r>
      <w:r>
        <w:rPr>
          <w:rFonts w:hint="default"/>
          <w:sz w:val="24"/>
          <w:szCs w:val="24"/>
          <w:lang w:val="en-US"/>
        </w:rPr>
        <w:t>Принимая во внимание воздействие ветра и/или льда во время бездействия в соответствии с 7.2.4 b), коэффициент запаса прочности при растяжении должен быть не менее 2,0.</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б) Коэффициент запаса прочности при растяжении для бесконечных эвакуационных канатов должен быть не менее 5,0.</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7.9.3 Наименьший номинальный диаметр бесконечных эвакуационных канатов</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Бесконечные эвакуационные канаты должны иметь номинальный диаметр не менее 15 мм.</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7.10</w:t>
      </w:r>
      <w:r>
        <w:rPr>
          <w:rFonts w:hint="default"/>
          <w:b/>
          <w:bCs/>
          <w:sz w:val="24"/>
          <w:szCs w:val="24"/>
          <w:lang w:val="ru-RU"/>
        </w:rPr>
        <w:t xml:space="preserve"> </w:t>
      </w:r>
      <w:r>
        <w:rPr>
          <w:rFonts w:hint="default"/>
          <w:b/>
          <w:bCs/>
          <w:sz w:val="24"/>
          <w:szCs w:val="24"/>
          <w:lang w:val="en-US"/>
        </w:rPr>
        <w:t>Проводниковые, удерживающие и маркерные тросы</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7.10.1 Коэффициент запаса прочности при растяжении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Коэффициент запаса прочности при растяжении не может быть меньше значения</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а) при эксплуатации: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1)без учета действий ДВС 3,0;</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2)с учетом действия льда 2,5;</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б) выведенный из эксплуатации и учитывающий требования ветра и льда в соответствии с 7.2.4 б) 2,0;</w:t>
      </w:r>
    </w:p>
    <w:p>
      <w:pPr>
        <w:autoSpaceDE w:val="0"/>
        <w:autoSpaceDN w:val="0"/>
        <w:adjustRightInd w:val="0"/>
        <w:spacing w:after="0" w:line="240" w:lineRule="auto"/>
        <w:ind w:left="0" w:leftChars="0" w:firstLine="723" w:firstLineChars="300"/>
        <w:jc w:val="both"/>
        <w:rPr>
          <w:rFonts w:hint="default"/>
          <w:sz w:val="24"/>
          <w:szCs w:val="24"/>
          <w:lang w:val="en-US"/>
        </w:rPr>
      </w:pPr>
      <w:r>
        <w:rPr>
          <w:rFonts w:hint="default"/>
          <w:b/>
          <w:bCs/>
          <w:sz w:val="24"/>
          <w:szCs w:val="24"/>
          <w:lang w:val="en-US"/>
        </w:rPr>
        <w:t>7.10.2 Напряжение при изгибе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Для определения соотношения диаметров обратитесь к EN 12927 (все детали).</w:t>
      </w:r>
    </w:p>
    <w:p>
      <w:pPr>
        <w:autoSpaceDE w:val="0"/>
        <w:autoSpaceDN w:val="0"/>
        <w:adjustRightInd w:val="0"/>
        <w:spacing w:after="0" w:line="240" w:lineRule="auto"/>
        <w:ind w:left="0" w:leftChars="0" w:firstLine="723" w:firstLineChars="300"/>
        <w:jc w:val="both"/>
        <w:rPr>
          <w:rFonts w:hint="default"/>
          <w:b/>
          <w:bCs/>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8 Установите передачу на приводной шкив</w:t>
      </w: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8.1 Безопасная передача касательной силы</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Должна быть проверена безопасная передача касательной силы на приводной шкив или на каждый приводной шкив в случае нескольких приводных шкивов. Эта проверка считается удовлетворительной, если допустимый коэффициент трения μzul на приводном шкиве для всех нагрузок, с учетом также динамических воздействий, больше или равен необходимому коэффициенту трения μerf, который рассчитывается по формуле (5) ниже:</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600" w:firstLineChars="300"/>
        <w:jc w:val="both"/>
        <w:rPr>
          <w:rFonts w:hint="default"/>
          <w:sz w:val="24"/>
          <w:szCs w:val="24"/>
          <w:lang w:val="en-US"/>
        </w:rPr>
      </w:pPr>
      <w:r>
        <w:rPr>
          <w:position w:val="-24"/>
          <w:szCs w:val="24"/>
        </w:rPr>
        <w:object>
          <v:shape id="_x0000_i1029" o:spt="75" type="#_x0000_t75" style="height:30.75pt;width:105.05pt;" o:ole="t" fillcolor="#000011" filled="f" o:preferrelative="t" stroked="f" coordsize="21600,21600">
            <v:path/>
            <v:fill on="f" focussize="0,0"/>
            <v:stroke on="f"/>
            <v:imagedata r:id="rId17" o:title=""/>
            <o:lock v:ext="edit" aspectratio="t"/>
            <w10:wrap type="none"/>
            <w10:anchorlock/>
          </v:shape>
          <o:OLEObject Type="Embed" ProgID="Equation.DSMT4" ShapeID="_x0000_i1029" DrawAspect="Content" ObjectID="_1468075728" r:id="rId16">
            <o:LockedField>false</o:LockedField>
          </o:OLEObject>
        </w:objec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Где:</w:t>
      </w:r>
    </w:p>
    <w:tbl>
      <w:tblPr>
        <w:tblStyle w:val="9"/>
        <w:tblW w:w="0" w:type="auto"/>
        <w:tblInd w:w="392" w:type="dxa"/>
        <w:tblLayout w:type="autofit"/>
        <w:tblCellMar>
          <w:top w:w="0" w:type="dxa"/>
          <w:left w:w="108" w:type="dxa"/>
          <w:bottom w:w="0" w:type="dxa"/>
          <w:right w:w="108" w:type="dxa"/>
        </w:tblCellMar>
      </w:tblPr>
      <w:tblGrid>
        <w:gridCol w:w="1510"/>
        <w:gridCol w:w="7668"/>
      </w:tblGrid>
      <w:tr>
        <w:tblPrEx>
          <w:tblCellMar>
            <w:top w:w="0" w:type="dxa"/>
            <w:left w:w="108" w:type="dxa"/>
            <w:bottom w:w="0" w:type="dxa"/>
            <w:right w:w="108" w:type="dxa"/>
          </w:tblCellMar>
        </w:tblPrEx>
        <w:tc>
          <w:tcPr>
            <w:tcW w:w="1559" w:type="dxa"/>
            <w:shd w:val="clear" w:color="auto" w:fill="auto"/>
            <w:noWrap w:val="0"/>
            <w:vAlign w:val="top"/>
          </w:tcPr>
          <w:p>
            <w:pPr>
              <w:pStyle w:val="225"/>
              <w:autoSpaceDE w:val="0"/>
              <w:autoSpaceDN w:val="0"/>
              <w:adjustRightInd w:val="0"/>
            </w:pPr>
            <w:r>
              <w:rPr>
                <w:rStyle w:val="227"/>
                <w:szCs w:val="24"/>
              </w:rPr>
              <w:t>α</w:t>
            </w:r>
          </w:p>
        </w:tc>
        <w:tc>
          <w:tcPr>
            <w:tcW w:w="8017" w:type="dxa"/>
            <w:shd w:val="clear" w:color="auto" w:fill="auto"/>
            <w:noWrap w:val="0"/>
            <w:vAlign w:val="top"/>
          </w:tcPr>
          <w:p>
            <w:pPr>
              <w:autoSpaceDE w:val="0"/>
              <w:autoSpaceDN w:val="0"/>
              <w:adjustRightInd w:val="0"/>
              <w:jc w:val="both"/>
            </w:pPr>
            <w:r>
              <w:rPr>
                <w:rFonts w:hint="default"/>
              </w:rPr>
              <w:t>- угол контакта с приводным шкивом [рад];</w:t>
            </w:r>
          </w:p>
        </w:tc>
      </w:tr>
      <w:tr>
        <w:tc>
          <w:tcPr>
            <w:tcW w:w="1559" w:type="dxa"/>
            <w:shd w:val="clear" w:color="auto" w:fill="auto"/>
            <w:noWrap w:val="0"/>
            <w:vAlign w:val="top"/>
          </w:tcPr>
          <w:p>
            <w:pPr>
              <w:pStyle w:val="225"/>
              <w:autoSpaceDE w:val="0"/>
              <w:autoSpaceDN w:val="0"/>
              <w:adjustRightInd w:val="0"/>
            </w:pPr>
            <w:r>
              <w:rPr>
                <w:rStyle w:val="227"/>
                <w:szCs w:val="24"/>
              </w:rPr>
              <w:t>T</w:t>
            </w:r>
            <w:r>
              <w:rPr>
                <w:rStyle w:val="228"/>
                <w:rFonts w:eastAsia="MS Mincho"/>
                <w:szCs w:val="24"/>
              </w:rPr>
              <w:t>max</w:t>
            </w:r>
            <w:r>
              <w:rPr>
                <w:rFonts w:eastAsia="MS Mincho"/>
                <w:szCs w:val="24"/>
              </w:rPr>
              <w:t xml:space="preserve"> or </w:t>
            </w:r>
            <w:r>
              <w:rPr>
                <w:rStyle w:val="227"/>
                <w:rFonts w:eastAsia="MS Mincho"/>
                <w:szCs w:val="24"/>
              </w:rPr>
              <w:t>T</w:t>
            </w:r>
            <w:r>
              <w:rPr>
                <w:rStyle w:val="228"/>
                <w:rFonts w:eastAsia="MS Mincho"/>
                <w:szCs w:val="24"/>
              </w:rPr>
              <w:t>min</w:t>
            </w:r>
          </w:p>
        </w:tc>
        <w:tc>
          <w:tcPr>
            <w:tcW w:w="8017" w:type="dxa"/>
            <w:shd w:val="clear" w:color="auto" w:fill="auto"/>
            <w:noWrap w:val="0"/>
            <w:vAlign w:val="top"/>
          </w:tcPr>
          <w:p>
            <w:pPr>
              <w:autoSpaceDE w:val="0"/>
              <w:autoSpaceDN w:val="0"/>
              <w:adjustRightInd w:val="0"/>
              <w:jc w:val="both"/>
            </w:pPr>
            <w:r>
              <w:rPr>
                <w:rFonts w:hint="default"/>
              </w:rPr>
              <w:t>наибольшая или наименьшая в каждом случае с усилием натяжения троса, возникающим для одного и того же случая нагрузки на приводной шкив;</w:t>
            </w:r>
          </w:p>
        </w:tc>
      </w:tr>
      <w:tr>
        <w:tblPrEx>
          <w:tblCellMar>
            <w:top w:w="0" w:type="dxa"/>
            <w:left w:w="108" w:type="dxa"/>
            <w:bottom w:w="0" w:type="dxa"/>
            <w:right w:w="108" w:type="dxa"/>
          </w:tblCellMar>
        </w:tblPrEx>
        <w:tc>
          <w:tcPr>
            <w:tcW w:w="1559" w:type="dxa"/>
            <w:shd w:val="clear" w:color="auto" w:fill="auto"/>
            <w:noWrap w:val="0"/>
            <w:vAlign w:val="top"/>
          </w:tcPr>
          <w:p>
            <w:pPr>
              <w:pStyle w:val="225"/>
              <w:autoSpaceDE w:val="0"/>
              <w:autoSpaceDN w:val="0"/>
              <w:adjustRightInd w:val="0"/>
            </w:pPr>
            <w:r>
              <w:rPr>
                <w:rStyle w:val="227"/>
                <w:szCs w:val="24"/>
              </w:rPr>
              <w:t>µ</w:t>
            </w:r>
            <w:r>
              <w:rPr>
                <w:rStyle w:val="228"/>
                <w:rFonts w:eastAsia="MS Mincho"/>
                <w:szCs w:val="24"/>
              </w:rPr>
              <w:t>erf</w:t>
            </w:r>
          </w:p>
        </w:tc>
        <w:tc>
          <w:tcPr>
            <w:tcW w:w="8017" w:type="dxa"/>
            <w:shd w:val="clear" w:color="auto" w:fill="auto"/>
            <w:noWrap w:val="0"/>
            <w:vAlign w:val="top"/>
          </w:tcPr>
          <w:p>
            <w:pPr>
              <w:autoSpaceDE w:val="0"/>
              <w:autoSpaceDN w:val="0"/>
              <w:adjustRightInd w:val="0"/>
              <w:jc w:val="both"/>
            </w:pPr>
            <w:r>
              <w:rPr>
                <w:rFonts w:hint="default"/>
              </w:rPr>
              <w:t>требуемый коэффициент трения на приводном шкиве.</w:t>
            </w:r>
          </w:p>
        </w:tc>
      </w:tr>
    </w:tbl>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Динамические эффекты должны быть приняты во внимание:</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a) в соответствии с 7.2.2 a) и b) (нормальная работа приводных тормозов), 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b) с учетом максимально возможного замедления, возникающего в случае неисправной работы приводных тормозов (см. EN 13223).</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Если соблюдаются требования пункта 7.1.4, то для расчета максимального и минимального усилий натяжения в канате может использоваться один и тот же метод аппроксимации.</w:t>
      </w:r>
    </w:p>
    <w:p>
      <w:pPr>
        <w:autoSpaceDE w:val="0"/>
        <w:autoSpaceDN w:val="0"/>
        <w:adjustRightInd w:val="0"/>
        <w:spacing w:after="0" w:line="240" w:lineRule="auto"/>
        <w:ind w:left="0" w:leftChars="0" w:firstLine="720" w:firstLineChars="300"/>
        <w:jc w:val="both"/>
        <w:rPr>
          <w:rFonts w:hint="default"/>
          <w:sz w:val="24"/>
          <w:szCs w:val="24"/>
          <w:lang w:val="en-US"/>
        </w:rPr>
      </w:pPr>
      <w:r>
        <w:rPr>
          <w:rFonts w:hint="default"/>
          <w:sz w:val="24"/>
          <w:szCs w:val="24"/>
          <w:lang w:val="en-US"/>
        </w:rPr>
        <w:t>Для лыжных буксиров динамические эффекты, указанные в 7.2.2 а), не должны приниматься во внимание.</w:t>
      </w:r>
    </w:p>
    <w:p>
      <w:pPr>
        <w:autoSpaceDE w:val="0"/>
        <w:autoSpaceDN w:val="0"/>
        <w:adjustRightInd w:val="0"/>
        <w:spacing w:after="0" w:line="240" w:lineRule="auto"/>
        <w:ind w:left="0" w:leftChars="0" w:firstLine="720" w:firstLineChars="300"/>
        <w:jc w:val="both"/>
        <w:rPr>
          <w:rFonts w:hint="default"/>
          <w:sz w:val="24"/>
          <w:szCs w:val="24"/>
          <w:lang w:val="en-US"/>
        </w:rPr>
      </w:pPr>
    </w:p>
    <w:p>
      <w:pPr>
        <w:autoSpaceDE w:val="0"/>
        <w:autoSpaceDN w:val="0"/>
        <w:adjustRightInd w:val="0"/>
        <w:spacing w:after="0" w:line="240" w:lineRule="auto"/>
        <w:ind w:left="0" w:leftChars="0" w:firstLine="723" w:firstLineChars="300"/>
        <w:jc w:val="both"/>
        <w:rPr>
          <w:rFonts w:hint="default"/>
          <w:b/>
          <w:bCs/>
          <w:sz w:val="24"/>
          <w:szCs w:val="24"/>
          <w:lang w:val="en-US"/>
        </w:rPr>
      </w:pPr>
      <w:r>
        <w:rPr>
          <w:rFonts w:hint="default"/>
          <w:b/>
          <w:bCs/>
          <w:sz w:val="24"/>
          <w:szCs w:val="24"/>
          <w:lang w:val="en-US"/>
        </w:rPr>
        <w:t>8.2 Допустимый коэффициент трения на приводном шкиве</w:t>
      </w:r>
    </w:p>
    <w:p>
      <w:pPr>
        <w:autoSpaceDE w:val="0"/>
        <w:autoSpaceDN w:val="0"/>
        <w:adjustRightInd w:val="0"/>
        <w:spacing w:after="0" w:line="240" w:lineRule="auto"/>
        <w:ind w:left="0" w:leftChars="0" w:firstLine="723" w:firstLineChars="300"/>
        <w:jc w:val="both"/>
        <w:rPr>
          <w:rFonts w:hint="default"/>
          <w:sz w:val="24"/>
          <w:szCs w:val="24"/>
          <w:lang w:val="en-US"/>
        </w:rPr>
      </w:pPr>
      <w:r>
        <w:rPr>
          <w:rFonts w:hint="default"/>
          <w:b/>
          <w:bCs/>
          <w:sz w:val="24"/>
          <w:szCs w:val="24"/>
          <w:lang w:val="en-US"/>
        </w:rPr>
        <w:t>8.2.1</w:t>
      </w:r>
      <w:r>
        <w:rPr>
          <w:rFonts w:hint="default"/>
          <w:sz w:val="24"/>
          <w:szCs w:val="24"/>
          <w:lang w:val="en-US"/>
        </w:rPr>
        <w:t xml:space="preserve"> Для фуникулеров и воздушных подъемников допустимый коэффициент трения μzul на приводном шкиве должен быть рассчитан как функция коэффициента трения μ, который существует в реальных условиях (например, мокрый трос, промасленный трос при + 40°C) для следующих условий:</w:t>
      </w:r>
    </w:p>
    <w:p>
      <w:pPr>
        <w:autoSpaceDE w:val="0"/>
        <w:autoSpaceDN w:val="0"/>
        <w:adjustRightInd w:val="0"/>
        <w:spacing w:after="0" w:line="240" w:lineRule="auto"/>
        <w:ind w:left="0" w:leftChars="0" w:firstLine="600" w:firstLineChars="300"/>
        <w:jc w:val="both"/>
        <w:rPr>
          <w:rFonts w:hint="default"/>
          <w:szCs w:val="24"/>
          <w:lang w:val="en-US"/>
        </w:rPr>
      </w:pPr>
    </w:p>
    <w:tbl>
      <w:tblPr>
        <w:tblStyle w:val="9"/>
        <w:tblW w:w="0" w:type="auto"/>
        <w:tblInd w:w="108" w:type="dxa"/>
        <w:tblLayout w:type="autofit"/>
        <w:tblCellMar>
          <w:top w:w="0" w:type="dxa"/>
          <w:left w:w="108" w:type="dxa"/>
          <w:bottom w:w="0" w:type="dxa"/>
          <w:right w:w="108" w:type="dxa"/>
        </w:tblCellMar>
      </w:tblPr>
      <w:tblGrid>
        <w:gridCol w:w="558"/>
        <w:gridCol w:w="6885"/>
        <w:gridCol w:w="2019"/>
      </w:tblGrid>
      <w:tr>
        <w:tblPrEx>
          <w:tblCellMar>
            <w:top w:w="0" w:type="dxa"/>
            <w:left w:w="108" w:type="dxa"/>
            <w:bottom w:w="0" w:type="dxa"/>
            <w:right w:w="108" w:type="dxa"/>
          </w:tblCellMar>
        </w:tblPrEx>
        <w:tc>
          <w:tcPr>
            <w:tcW w:w="567" w:type="dxa"/>
            <w:noWrap w:val="0"/>
            <w:vAlign w:val="top"/>
          </w:tcPr>
          <w:p>
            <w:pPr>
              <w:pStyle w:val="225"/>
              <w:autoSpaceDE w:val="0"/>
              <w:autoSpaceDN w:val="0"/>
              <w:adjustRightInd w:val="0"/>
              <w:jc w:val="both"/>
            </w:pPr>
            <w:r>
              <w:t>—</w:t>
            </w:r>
          </w:p>
        </w:tc>
        <w:tc>
          <w:tcPr>
            <w:tcW w:w="7230" w:type="dxa"/>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Для динамических эффектов в 8.1 a): Для полной потери давления в гидравлических натяжителях: Для динамических эффектов в 8.1 b) и полной потери давления в гидравлических натяжителях:</w:t>
            </w:r>
          </w:p>
        </w:tc>
        <w:tc>
          <w:tcPr>
            <w:tcW w:w="2063" w:type="dxa"/>
            <w:noWrap w:val="0"/>
            <w:vAlign w:val="top"/>
          </w:tcPr>
          <w:p>
            <w:pPr>
              <w:pStyle w:val="225"/>
              <w:autoSpaceDE w:val="0"/>
              <w:autoSpaceDN w:val="0"/>
              <w:adjustRightInd w:val="0"/>
            </w:pPr>
            <w:r>
              <w:rPr>
                <w:rStyle w:val="227"/>
                <w:szCs w:val="24"/>
                <w:lang w:val="de-DE"/>
              </w:rPr>
              <w:t>μ</w:t>
            </w:r>
            <w:r>
              <w:rPr>
                <w:rStyle w:val="228"/>
                <w:rFonts w:eastAsia="MS Mincho" w:cs="Arial"/>
                <w:i w:val="0"/>
                <w:szCs w:val="24"/>
                <w:lang w:val="de-DE"/>
              </w:rPr>
              <w:t>zul</w:t>
            </w:r>
            <w:r>
              <w:t> = 0.67 </w:t>
            </w:r>
            <w:r>
              <w:rPr>
                <w:rStyle w:val="227"/>
              </w:rPr>
              <w:t>μ</w:t>
            </w:r>
            <w:r>
              <w:rPr>
                <w:rStyle w:val="229"/>
              </w:rPr>
              <w:t>;</w:t>
            </w:r>
          </w:p>
        </w:tc>
      </w:tr>
      <w:tr>
        <w:tblPrEx>
          <w:tblCellMar>
            <w:top w:w="0" w:type="dxa"/>
            <w:left w:w="108" w:type="dxa"/>
            <w:bottom w:w="0" w:type="dxa"/>
            <w:right w:w="108" w:type="dxa"/>
          </w:tblCellMar>
        </w:tblPrEx>
        <w:tc>
          <w:tcPr>
            <w:tcW w:w="567" w:type="dxa"/>
            <w:noWrap w:val="0"/>
            <w:vAlign w:val="top"/>
          </w:tcPr>
          <w:p>
            <w:pPr>
              <w:pStyle w:val="225"/>
              <w:autoSpaceDE w:val="0"/>
              <w:autoSpaceDN w:val="0"/>
              <w:adjustRightInd w:val="0"/>
              <w:jc w:val="both"/>
            </w:pPr>
            <w:r>
              <w:t>—</w:t>
            </w:r>
          </w:p>
        </w:tc>
        <w:tc>
          <w:tcPr>
            <w:tcW w:w="7230" w:type="dxa"/>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Для динамических эффектов в 8.1 a): Для полной потери давления в гидравлических натяжителях: Для динамических эффектов в 8.1 b) и полной потери давления в гидравлических натяжителях:</w:t>
            </w:r>
          </w:p>
        </w:tc>
        <w:tc>
          <w:tcPr>
            <w:tcW w:w="2063" w:type="dxa"/>
            <w:noWrap w:val="0"/>
            <w:vAlign w:val="top"/>
          </w:tcPr>
          <w:p>
            <w:pPr>
              <w:pStyle w:val="225"/>
              <w:autoSpaceDE w:val="0"/>
              <w:autoSpaceDN w:val="0"/>
              <w:adjustRightInd w:val="0"/>
            </w:pPr>
            <w:r>
              <w:rPr>
                <w:rStyle w:val="227"/>
                <w:szCs w:val="24"/>
                <w:lang w:val="de-DE"/>
              </w:rPr>
              <w:t>μ</w:t>
            </w:r>
            <w:r>
              <w:rPr>
                <w:rStyle w:val="228"/>
                <w:rFonts w:eastAsia="MS Mincho" w:cs="Arial"/>
                <w:i w:val="0"/>
                <w:szCs w:val="24"/>
                <w:lang w:val="de-DE"/>
              </w:rPr>
              <w:t>zul</w:t>
            </w:r>
            <w:r>
              <w:t> = 0.73 </w:t>
            </w:r>
            <w:r>
              <w:rPr>
                <w:rStyle w:val="227"/>
              </w:rPr>
              <w:t>μ</w:t>
            </w:r>
            <w:r>
              <w:rPr>
                <w:rStyle w:val="229"/>
              </w:rPr>
              <w:t>;</w:t>
            </w:r>
          </w:p>
        </w:tc>
      </w:tr>
      <w:tr>
        <w:tblPrEx>
          <w:tblCellMar>
            <w:top w:w="0" w:type="dxa"/>
            <w:left w:w="108" w:type="dxa"/>
            <w:bottom w:w="0" w:type="dxa"/>
            <w:right w:w="108" w:type="dxa"/>
          </w:tblCellMar>
        </w:tblPrEx>
        <w:tc>
          <w:tcPr>
            <w:tcW w:w="567" w:type="dxa"/>
            <w:noWrap w:val="0"/>
            <w:vAlign w:val="top"/>
          </w:tcPr>
          <w:p>
            <w:pPr>
              <w:pStyle w:val="225"/>
              <w:autoSpaceDE w:val="0"/>
              <w:autoSpaceDN w:val="0"/>
              <w:adjustRightInd w:val="0"/>
              <w:jc w:val="both"/>
            </w:pPr>
            <w:r>
              <w:t>—</w:t>
            </w:r>
          </w:p>
        </w:tc>
        <w:tc>
          <w:tcPr>
            <w:tcW w:w="7230" w:type="dxa"/>
            <w:noWrap w:val="0"/>
            <w:vAlign w:val="top"/>
          </w:tcPr>
          <w:p>
            <w:pPr>
              <w:autoSpaceDE w:val="0"/>
              <w:autoSpaceDN w:val="0"/>
              <w:adjustRightInd w:val="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Для динамических эффектов в 8.1 a): Для полной потери давления в гидравлических натяжителях: Для динамических эффектов в 8.1 b) и полной потери давления в гидравлических натяжителях:</w:t>
            </w:r>
          </w:p>
        </w:tc>
        <w:tc>
          <w:tcPr>
            <w:tcW w:w="2063" w:type="dxa"/>
            <w:noWrap w:val="0"/>
            <w:vAlign w:val="top"/>
          </w:tcPr>
          <w:p>
            <w:pPr>
              <w:pStyle w:val="225"/>
              <w:autoSpaceDE w:val="0"/>
              <w:autoSpaceDN w:val="0"/>
              <w:adjustRightInd w:val="0"/>
            </w:pPr>
            <w:r>
              <w:rPr>
                <w:rStyle w:val="227"/>
                <w:szCs w:val="24"/>
                <w:lang w:val="de-DE"/>
              </w:rPr>
              <w:t>μ</w:t>
            </w:r>
            <w:r>
              <w:rPr>
                <w:rStyle w:val="228"/>
                <w:rFonts w:eastAsia="MS Mincho" w:cs="Arial"/>
                <w:i w:val="0"/>
                <w:szCs w:val="24"/>
                <w:lang w:val="de-DE"/>
              </w:rPr>
              <w:t>zul</w:t>
            </w:r>
            <w:r>
              <w:t> = 0.80 </w:t>
            </w:r>
            <w:r>
              <w:rPr>
                <w:rStyle w:val="227"/>
              </w:rPr>
              <w:t>μ</w:t>
            </w:r>
            <w:r>
              <w:rPr>
                <w:rStyle w:val="229"/>
              </w:rPr>
              <w:t>.</w:t>
            </w:r>
          </w:p>
        </w:tc>
      </w:tr>
    </w:tbl>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резины можно принять минимальное значение μ = 0,30.</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других материалов фактический коэффициент трения должен быть определен путем тестирования.</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8.2.2</w:t>
      </w:r>
      <w:r>
        <w:rPr>
          <w:rFonts w:hint="default"/>
          <w:sz w:val="24"/>
          <w:szCs w:val="24"/>
        </w:rPr>
        <w:t xml:space="preserve"> В случае лыжных буксиров с прорезиненными приводными шкивами допустимый коэффициент трения составляет μzul:</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≈0,22, если используются захваты без выравнивания скручивания каната (фиксированные захваты);</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0,25 для тягового троса диаметром до 18 мм, если используются захваты без выравнивания скручивания троса (фиксированные захваты);</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≈0,30, если захваты позволяют выравнивать скручивание каната (съемные втулки). Это значение может быть увеличено до 40% при условии проверки путем тестирования.</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8.3 Варианты загрузки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В случае съемных систем, в которых носители могут быть установлены в гараже, должны приниматься во внимание наиболее неблагоприятные условия погрузки, которые обычно:</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lang w:val="ru-RU"/>
        </w:rPr>
        <w:t>-</w:t>
      </w:r>
      <w:r>
        <w:rPr>
          <w:rFonts w:hint="default"/>
          <w:sz w:val="24"/>
          <w:szCs w:val="24"/>
        </w:rPr>
        <w:t>занятые носители вверх, пустая веревка вниз или;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lang w:val="ru-RU"/>
        </w:rPr>
        <w:t>-</w:t>
      </w:r>
      <w:r>
        <w:rPr>
          <w:rFonts w:hint="default"/>
          <w:sz w:val="24"/>
          <w:szCs w:val="24"/>
        </w:rPr>
        <w:t>пустая веревка вверх, занятые носители вниз.</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Если перечисленные наиболее неблагоприятные варианты нагрузки невозможны (например, из-за счетных механизмов, контроля крутящего момента на приводном шкиве или профилактических эксплуатационных мер), необходимо учитывать только те условия нагрузки, которые действительно возникают.</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 Расчет мощности привода</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9.1</w:t>
      </w:r>
      <w:r>
        <w:rPr>
          <w:rFonts w:hint="default"/>
          <w:b/>
          <w:bCs/>
          <w:sz w:val="24"/>
          <w:szCs w:val="24"/>
          <w:lang w:val="ru-RU"/>
        </w:rPr>
        <w:t xml:space="preserve"> </w:t>
      </w:r>
      <w:r>
        <w:rPr>
          <w:rFonts w:hint="default"/>
          <w:b/>
          <w:bCs/>
          <w:sz w:val="24"/>
          <w:szCs w:val="24"/>
        </w:rPr>
        <w:t>Общие положения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Мощность приводных систем должна определяться с учетом всех характеристик канатной дороги или буксира, которые имеют отношение к системе и ее работе.</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целей расчета характерные сила и скорость должны соответствовать силе и скорости на ободе приводного шкива (на оси троса), а характерная мощность должна соответствовать мощности на валу приводного двигателя при номинальной частоте вращения.</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9.2 Непрерывное питание для канатных дорог в режиме непрерывной работы</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9.2.1 Для установки канатных дорог</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которые установили изменения скорости в целях эксплуатации или в связи с требованиями на линии или на станциях (например, запуск и остановка электропривода на линии, прибытие в обычные пункты остановки на станциях), и/или;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в которых по другим причинам работа приводной системы не является непрерывной;</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непрерывная мощность рассчитывается для каждого случая нагрузки на основе временной диаграммы касательной силы, в которой должны учитываться изменения касательной силы, обусловленные ускорением (или замедлением) в соответствии с пунктом 9.4. Схема должна быть составлена для полного цикла перемещения. Он должен использоваться для вычисления среднеквадратичного значения, которое является основой для необходимой непрерывной мощности.</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9.2.2</w:t>
      </w:r>
      <w:r>
        <w:rPr>
          <w:rFonts w:hint="default"/>
          <w:sz w:val="24"/>
          <w:szCs w:val="24"/>
        </w:rPr>
        <w:t xml:space="preserve"> Должно быть проверено, что (с учетом высоты и температуры на месте установки) допустимые предельные значения для системы привода (например, пиковый крутящий момент, пиковая мощность, текущая нагрузка) являются адекватными, когда в дополнение к постоянной мощности в соответствии с 9.2.1 экстремальные значения, указанные в схема также принимается во внимание (см. EN 13223 и EN 13243).</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660" w:firstLineChars="300"/>
        <w:jc w:val="both"/>
        <w:rPr>
          <w:rFonts w:hint="default"/>
          <w:sz w:val="22"/>
          <w:szCs w:val="22"/>
        </w:rPr>
      </w:pPr>
      <w:r>
        <w:rPr>
          <w:rFonts w:hint="default"/>
          <w:sz w:val="22"/>
          <w:szCs w:val="22"/>
        </w:rPr>
        <w:t>ПРИМЕЧАНИЕ. Метод расчета, указанный в 9.2, обычно применим для фуникулеров, реверсивных воздушных канатных дорог и воздушных канатных дорог с импульсным движением.</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9.3 Непрерывное питание для канатных дорог в непрерывном режиме</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9.3.1 Для установки канатных дорог</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при котором работа приводной системы является непрерывной, 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в котором, за исключением случайных изменений скорости (например, для временного снижения скорости движения, для остановки установки по эксплуатационным причинам или для предотвращения опасности) скорость приводной системы является равномерной, 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как тангенциальная сила, так и рабочая скорость должны рассматриваться как постоянные при расчете постоянной мощности.</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9.3.2</w:t>
      </w:r>
      <w:r>
        <w:rPr>
          <w:rFonts w:hint="default"/>
          <w:sz w:val="24"/>
          <w:szCs w:val="24"/>
        </w:rPr>
        <w:t xml:space="preserve"> Для установки канатных дорог необходимо убедиться, принимая во внимание возвышенное положение и температуру в месте установки, что допустимые предельные значения для приводных механизмов (например, пиковый крутящий момент, пиковая мощность, текущая нагрузка) являются адекватными, принимая во внимание не только непрерывную мощность в соответствии с 9.3.1, но и мощность ускорения в соответствии с 9.4.</w:t>
      </w:r>
    </w:p>
    <w:p>
      <w:pPr>
        <w:autoSpaceDE w:val="0"/>
        <w:autoSpaceDN w:val="0"/>
        <w:adjustRightInd w:val="0"/>
        <w:spacing w:after="0" w:line="240" w:lineRule="auto"/>
        <w:ind w:left="0" w:leftChars="0" w:firstLine="660" w:firstLineChars="300"/>
        <w:jc w:val="both"/>
        <w:rPr>
          <w:rFonts w:hint="default"/>
          <w:sz w:val="22"/>
          <w:szCs w:val="22"/>
        </w:rPr>
      </w:pPr>
      <w:r>
        <w:rPr>
          <w:rFonts w:hint="default"/>
          <w:sz w:val="22"/>
          <w:szCs w:val="22"/>
        </w:rPr>
        <w:t>ПРИМЕЧАНИЕ. Метод расчета обычно используется для однонаправленных воздушных канатных дорог и для лыжных буксиров.</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9.4</w:t>
      </w:r>
      <w:r>
        <w:rPr>
          <w:rFonts w:hint="default"/>
          <w:b/>
          <w:bCs/>
          <w:sz w:val="24"/>
          <w:szCs w:val="24"/>
          <w:lang w:val="ru-RU"/>
        </w:rPr>
        <w:t xml:space="preserve"> </w:t>
      </w:r>
      <w:r>
        <w:rPr>
          <w:rFonts w:hint="default"/>
          <w:b/>
          <w:bCs/>
          <w:sz w:val="24"/>
          <w:szCs w:val="24"/>
        </w:rPr>
        <w:t>Мощность ускорения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При определении мощности ускорения или замедления допустимо предположить, что все поступательные массы и вся инерция вращения канатной дороги подвергаются постоянному ускорению (или замедлению) от приводной системы. Результирующие силы инерции в случае ускорения или замедления должны приниматься постоянными.</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 Применение канатов и носителей при строительных работах</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10.1Общие положения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Определение размеров механических устройств описано в EN 13223, а определение размеров опорных конструкций - в EN 13107.</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Этот пункт охватывает действия канатов и носителей, действующих на опорные конструкции.</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Действия в соответствии с пунктами 10.2-10.8 являются переменными действиями, а действия в соответствии с пунктом 10.9 являются случайными действиями, как определено в EN 1990.</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Требования стандарта EN 13107 применяются к комбинациям воздействий на опорные конструкции.</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10.2</w:t>
      </w:r>
      <w:r>
        <w:rPr>
          <w:rFonts w:hint="default"/>
          <w:b/>
          <w:bCs/>
          <w:sz w:val="24"/>
          <w:szCs w:val="24"/>
          <w:lang w:val="ru-RU"/>
        </w:rPr>
        <w:t xml:space="preserve"> </w:t>
      </w:r>
      <w:r>
        <w:rPr>
          <w:rFonts w:hint="default"/>
          <w:b/>
          <w:bCs/>
          <w:sz w:val="24"/>
          <w:szCs w:val="24"/>
        </w:rPr>
        <w:t>Действия, вызванные силами натяжения в канатах</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10.2.1 Общие положения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При определении размеров строительных работ номинальные значения из расчета продольного профиля используются в качестве характерных значений для воздействий (векторных величин), которые возникают в результате усилий натяжения в канатах.</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В случае переменных воздействий значение характеристики соответствует:</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 либо верхнее значение, которое не превышается в течение отчетного периода с заданной вероятностью, либо нижнее значение, которое не опускается ниже с заданной вероятностью;</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 номинальное значение, которое может быть определено при отсутствии известного распределения вероятностей.</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660" w:firstLineChars="300"/>
        <w:jc w:val="both"/>
        <w:rPr>
          <w:rFonts w:hint="default"/>
          <w:sz w:val="22"/>
          <w:szCs w:val="22"/>
        </w:rPr>
      </w:pPr>
      <w:r>
        <w:rPr>
          <w:rFonts w:hint="default"/>
          <w:sz w:val="22"/>
          <w:szCs w:val="22"/>
        </w:rPr>
        <w:t>ПРИМЕЧАНИЕ. Поскольку статистическое распределение воздействий, обусловленных силами натяжения в канатах, неизвестно, в качестве характеристического значения используется номинальное значение, полученное из расчета продольного профиля.</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10.2.2</w:t>
      </w:r>
      <w:r>
        <w:rPr>
          <w:rFonts w:hint="default"/>
          <w:sz w:val="24"/>
          <w:szCs w:val="24"/>
        </w:rPr>
        <w:t xml:space="preserve"> Значение характеристики в процессе эксплуатации определяется минимальным значением и максимальным значением.</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 xml:space="preserve">10.2.3 </w:t>
      </w:r>
      <w:r>
        <w:rPr>
          <w:rFonts w:hint="default"/>
          <w:sz w:val="24"/>
          <w:szCs w:val="24"/>
        </w:rPr>
        <w:t>Значение характеристики в нерабочем состоянии указывается как единое значение; при необходимости для разных основных сил натяжения указываются разные значения (см. 7.1.2).</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10.3 Силы ветра на канатах и держателях</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В случае неподвижного каната предполагается, что сила, возникающая в результате бокового ветра, действует в точке входа в канатную опору, а в случае движущегося каната она обычно равномерно распределяется по двум крайним роликам на канатной опоре.</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Силы ветра, действующие на канаты и держатели, должны приниматься в соответствии с пунктом 6.5.4.</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систем со съемными опорами, которые обычно не остаются на линии, силы ветра на опорах, когда они не работают, не должны приниматься во внимание.</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10.4 Силы трения канатов на строительных работах</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Силы трения должны определяться в соответствии с пунктом 7.2.3.</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10.5Ледяные завесы на веревках</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Должны учитываться действия льда в соответствии с пунктом 6.5.5; одновременные действия ветра и льда должны приниматься во внимание в соответствии с пунктом 7.2.4.</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10.6 Пусковые и тормозные усилия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Для опорных конструкций на станциях динамические воздействия в соответствии с 7.2.2 должны учитываться при определении характерного значения силы натяжения в канате.</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10.7</w:t>
      </w:r>
      <w:r>
        <w:rPr>
          <w:rFonts w:hint="default"/>
          <w:b/>
          <w:bCs/>
          <w:sz w:val="24"/>
          <w:szCs w:val="24"/>
          <w:lang w:val="ru-RU"/>
        </w:rPr>
        <w:t xml:space="preserve"> </w:t>
      </w:r>
      <w:r>
        <w:rPr>
          <w:rFonts w:hint="default"/>
          <w:b/>
          <w:bCs/>
          <w:sz w:val="24"/>
          <w:szCs w:val="24"/>
        </w:rPr>
        <w:t>Динамические эффекты во время работы</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Динамическое воздействие на опорные конструкции описано в EN 13107.</w:t>
      </w:r>
    </w:p>
    <w:p>
      <w:pPr>
        <w:autoSpaceDE w:val="0"/>
        <w:autoSpaceDN w:val="0"/>
        <w:adjustRightInd w:val="0"/>
        <w:spacing w:after="0" w:line="240" w:lineRule="auto"/>
        <w:ind w:left="0" w:leftChars="0" w:firstLine="720" w:firstLineChars="300"/>
        <w:jc w:val="both"/>
        <w:rPr>
          <w:rFonts w:hint="default"/>
          <w:sz w:val="24"/>
          <w:szCs w:val="24"/>
        </w:rPr>
      </w:pP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10.8</w:t>
      </w:r>
      <w:r>
        <w:rPr>
          <w:rFonts w:hint="default"/>
          <w:b/>
          <w:bCs/>
          <w:sz w:val="24"/>
          <w:szCs w:val="24"/>
          <w:lang w:val="ru-RU"/>
        </w:rPr>
        <w:t xml:space="preserve"> </w:t>
      </w:r>
      <w:r>
        <w:rPr>
          <w:rFonts w:hint="default"/>
          <w:b/>
          <w:bCs/>
          <w:sz w:val="24"/>
          <w:szCs w:val="24"/>
        </w:rPr>
        <w:t>Действия, вытекающие из работ по монтажу и техническому обслуживанию</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10.8.1</w:t>
      </w:r>
      <w:r>
        <w:rPr>
          <w:rFonts w:hint="default"/>
          <w:sz w:val="24"/>
          <w:szCs w:val="24"/>
        </w:rPr>
        <w:t xml:space="preserve"> Опорные конструкции должны рассчитываться с учетом эксцентричных нагрузок, возникающих при монтаже или техническом обслуживании, например, из-за снятия троса с опор на одной стороне канатной дороги. В этом случае характеристическое значение представляет собой номинальное значение несущей силы троса в соответствии с расчетом продольного профиля для пустого троса или ненагруженного троса, остающегося на опоре (в зависимости от типа и использования установки).</w:t>
      </w:r>
    </w:p>
    <w:p>
      <w:pPr>
        <w:autoSpaceDE w:val="0"/>
        <w:autoSpaceDN w:val="0"/>
        <w:adjustRightInd w:val="0"/>
        <w:spacing w:after="0" w:line="240" w:lineRule="auto"/>
        <w:ind w:left="0" w:leftChars="0" w:firstLine="723" w:firstLineChars="300"/>
        <w:jc w:val="both"/>
        <w:rPr>
          <w:rFonts w:hint="default"/>
          <w:sz w:val="24"/>
          <w:szCs w:val="24"/>
        </w:rPr>
      </w:pPr>
      <w:r>
        <w:rPr>
          <w:rFonts w:hint="default"/>
          <w:b/>
          <w:bCs/>
          <w:sz w:val="24"/>
          <w:szCs w:val="24"/>
        </w:rPr>
        <w:t>10.8.2</w:t>
      </w:r>
      <w:r>
        <w:rPr>
          <w:rFonts w:hint="default"/>
          <w:sz w:val="24"/>
          <w:szCs w:val="24"/>
        </w:rPr>
        <w:t xml:space="preserve"> Для подъема каната с опоры или для закрепления каната характеристическим значением является номинальное значение несущей силы каната или силы натяжения в канате в соответствии с расчетом продольного профиля для пустого каната или ненагруженного каната - в зависимости от типа и использования установки. Угол отклонения 0,09 рад (5°) от направления несущей силы троса или силы натяжения троса должен приниматься во внимание.</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10.9 Случайные действия</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10.9.1 Общие положения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Характерное значение действия определено в 10.2. Расчетное значение случайного действия является результатом умножения его характеристического значения на частичный коэффициент, указанный следующим образом для различных случайных действий.</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10.9.2 Тормозные усилия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а) Торможение бортовым тормозом: характеристическое значение представляет собой номинальное значение тормозного усилия, указанное поставщиком, с учетом максимально возможного коэффициента трения.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b) Неожиданное срабатывание рабочих и/или предохранительных тормозов: для опорных конструкций станций предполагается, что расчетное значение в 1,5 раза превышает значение тормозного усилия, возникающего в случае неисправной работы приводных тормозов.</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10.9.3 Действия, связанные с падением троса на канатоуловитель</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а) В процессе эксплуатации допускается сход каната с одной стороны на канатоуловители с учетом трения каната о канатоуловители, при этом между канатом и канатоуловителем должен учитываться коэффициент трения 0,20: расчетное значение в 1,3 раза превышает значение наибольшего каната сила опоры, полученная в результате расчета продольного профиля.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б) В нерабочем состоянии предполагается сход каната с одной стороны на канатоуловители: расчетное значение в 1,3 раза превышает значение максимального усилия опоры каната, полученное в результате расчета продольного профиля.</w:t>
      </w:r>
    </w:p>
    <w:p>
      <w:pPr>
        <w:autoSpaceDE w:val="0"/>
        <w:autoSpaceDN w:val="0"/>
        <w:adjustRightInd w:val="0"/>
        <w:spacing w:after="0" w:line="240" w:lineRule="auto"/>
        <w:ind w:left="0" w:leftChars="0" w:firstLine="723" w:firstLineChars="300"/>
        <w:jc w:val="both"/>
        <w:rPr>
          <w:rFonts w:hint="default"/>
          <w:b/>
          <w:bCs/>
          <w:sz w:val="24"/>
          <w:szCs w:val="24"/>
        </w:rPr>
      </w:pPr>
      <w:r>
        <w:rPr>
          <w:rFonts w:hint="default"/>
          <w:b/>
          <w:bCs/>
          <w:sz w:val="24"/>
          <w:szCs w:val="24"/>
        </w:rPr>
        <w:t>10.9.4 Действия, связанные с соскальзыванием троса на рычаг канатоуловителя компрессионной опоры</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а) В процессе эксплуатации необходимо учитывать следующее:</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1) сход каната с рельсов с учетом трения каната о рычаг канатоуловителя, предполагая коэффициент трения 0,30 между канатом и рычагом канатоуловителя; расчетное значение в два раза превышает значение максимальной силы опоры каната, полученное в результате расчета продольного профиля;</w:t>
      </w:r>
    </w:p>
    <w:p>
      <w:pPr>
        <w:autoSpaceDE w:val="0"/>
        <w:autoSpaceDN w:val="0"/>
        <w:adjustRightInd w:val="0"/>
        <w:spacing w:after="0" w:line="240" w:lineRule="auto"/>
        <w:ind w:left="0" w:leftChars="0" w:firstLine="720" w:firstLineChars="300"/>
        <w:jc w:val="both"/>
        <w:rPr>
          <w:rFonts w:hint="default"/>
          <w:sz w:val="24"/>
          <w:szCs w:val="24"/>
        </w:rPr>
      </w:pPr>
      <w:r>
        <w:rPr>
          <w:rFonts w:hint="default"/>
          <w:sz w:val="24"/>
          <w:szCs w:val="24"/>
        </w:rPr>
        <w:t>2) сход троса с рельсов в соответствии с пунктом 1) вместе с захватом захвата, если захваты не могут пройти через рычаг захвата троса; расчетные значения в этом случае в 1,1 раза превышают значение силы скольжения захвата в соответствии с EN 13796-1 и в 1,1 раза превышают значение максимального усилия опоры троса и в 1,1 раза величина силы, обусловленной трением каната о рычаг канатоуловителя с коэффициентом трения 0,30.</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rPr>
        <w:t>b) В нерабочем состоянии предполагается следующее: расчетное значение в 2 раза превышает значение максимального усилия, оказываемого канатом на опору, обусловленное продольным профилем</w:t>
      </w:r>
      <w:r>
        <w:rPr>
          <w:rFonts w:hint="default"/>
          <w:sz w:val="24"/>
          <w:szCs w:val="24"/>
          <w:lang w:val="ru-RU"/>
        </w:rPr>
        <w:t>.</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10.9.5Действия, вызванные полным отключением движущегося троса с одной стороны</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Для всех установок допускается использование только движущегося троса, сорванного с одной стороны пути. Это относится к случаям загрузки “в работе” и “не работает”.</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Для установок с подвижным тросом на каждой стороне пути расчетное значение оставшегося троса на опорной конструкции линии должно приниматься равным 1,1-кратному значению наибольшей несущей силы троса, полученной в результате расчета продольного профиля.</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Обрыв проводящего кабеля, закрепленного на опорной конструкции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Чтобы учесть обрыв проводящего троса, расчетное значение должно быть получено с помощью силы натяжения оборванного троса, действующей векторно в противоположном направлении.</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Одновременный обрыв двух или более кабелей не должен рассматриваться.</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При учете ледовой нагрузки в соответствии с пунктом 6.5.5.3 для получения расчетного значения должна быть приложена только половина силы натяжения оборванного троса, действующей векторно в противоположном направлении.</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10.9.7 Другие случайные действия</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О других случайных действиях см. в EN 13107.</w:t>
      </w:r>
    </w:p>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11 Деформации опор</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Для безопасного направления троса опоры должны обладать достаточной жесткостью, а их изгибы и отклонения при кручении должны быть ограничены. Допустимые значения деформаций и их расчет приведены в стандарте EN 13107.</w:t>
      </w:r>
    </w:p>
    <w:p>
      <w:pPr>
        <w:autoSpaceDE w:val="0"/>
        <w:autoSpaceDN w:val="0"/>
        <w:adjustRightInd w:val="0"/>
        <w:spacing w:after="0" w:line="240" w:lineRule="auto"/>
        <w:ind w:left="0" w:leftChars="0" w:firstLine="723" w:firstLineChars="300"/>
        <w:jc w:val="both"/>
        <w:rPr>
          <w:rFonts w:hint="default"/>
          <w:b/>
          <w:bCs/>
          <w:sz w:val="24"/>
          <w:szCs w:val="24"/>
          <w:lang w:val="ru-RU"/>
        </w:rPr>
      </w:pP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12 Технические документы для профиля линии</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12.1 Для фуникулерных железных дорог</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Расчет продольного профиля и расчет пролетного строения и инфраструктуры пути; проверка усилий натяжения каната, опорных усилий на опорах буксировочного каната, коэффициента поперечного усилия ролика и профиля зазора; расчет хода противовеса, максимальной мощности привода и необходимого тормозного усилия, а также а также безопасная передача тангенциальной силы на приводной шкив.</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12.2 Для воздушных канатных дорог</w:t>
      </w:r>
    </w:p>
    <w:p>
      <w:pPr>
        <w:autoSpaceDE w:val="0"/>
        <w:autoSpaceDN w:val="0"/>
        <w:adjustRightInd w:val="0"/>
        <w:spacing w:after="0" w:line="240" w:lineRule="auto"/>
        <w:ind w:left="0" w:leftChars="0" w:firstLine="723" w:firstLineChars="300"/>
        <w:jc w:val="both"/>
        <w:rPr>
          <w:rFonts w:hint="default"/>
          <w:sz w:val="24"/>
          <w:szCs w:val="24"/>
          <w:lang w:val="ru-RU"/>
        </w:rPr>
      </w:pPr>
      <w:r>
        <w:rPr>
          <w:rFonts w:hint="default"/>
          <w:b/>
          <w:bCs/>
          <w:sz w:val="24"/>
          <w:szCs w:val="24"/>
          <w:lang w:val="ru-RU"/>
        </w:rPr>
        <w:t>12.2.1</w:t>
      </w:r>
      <w:r>
        <w:rPr>
          <w:rFonts w:hint="default"/>
          <w:sz w:val="24"/>
          <w:szCs w:val="24"/>
          <w:lang w:val="ru-RU"/>
        </w:rPr>
        <w:t xml:space="preserve"> Расчет продольного профиля; проверка сил натяжения, наклона каната и опорных усилий на опорах, коэффициентов поперечных усилий на линии и на опорах, а также профиля зазора; расчет прогиба, перемещения противовеса, максимальной мощности привода и необходимое тормозное усилие, а также безопасная передача тангенциального усилия на приводной шкив.</w:t>
      </w:r>
    </w:p>
    <w:p>
      <w:pPr>
        <w:autoSpaceDE w:val="0"/>
        <w:autoSpaceDN w:val="0"/>
        <w:adjustRightInd w:val="0"/>
        <w:spacing w:after="0" w:line="240" w:lineRule="auto"/>
        <w:ind w:left="0" w:leftChars="0" w:firstLine="723" w:firstLineChars="300"/>
        <w:jc w:val="both"/>
        <w:rPr>
          <w:rFonts w:hint="default"/>
          <w:sz w:val="24"/>
          <w:szCs w:val="24"/>
          <w:lang w:val="ru-RU"/>
        </w:rPr>
      </w:pPr>
      <w:bookmarkStart w:id="1" w:name="_GoBack"/>
      <w:r>
        <w:rPr>
          <w:rFonts w:hint="default"/>
          <w:b/>
          <w:bCs/>
          <w:sz w:val="24"/>
          <w:szCs w:val="24"/>
          <w:lang w:val="ru-RU"/>
        </w:rPr>
        <w:t>12.2.2</w:t>
      </w:r>
      <w:bookmarkEnd w:id="1"/>
      <w:r>
        <w:rPr>
          <w:rFonts w:hint="default"/>
          <w:sz w:val="24"/>
          <w:szCs w:val="24"/>
          <w:lang w:val="ru-RU"/>
        </w:rPr>
        <w:t xml:space="preserve"> Любые необходимые расчеты для поперечных сечений линии.</w:t>
      </w:r>
    </w:p>
    <w:p>
      <w:pPr>
        <w:autoSpaceDE w:val="0"/>
        <w:autoSpaceDN w:val="0"/>
        <w:adjustRightInd w:val="0"/>
        <w:spacing w:after="0" w:line="240" w:lineRule="auto"/>
        <w:ind w:left="0" w:leftChars="0" w:firstLine="723" w:firstLineChars="300"/>
        <w:jc w:val="both"/>
        <w:rPr>
          <w:rFonts w:hint="default"/>
          <w:sz w:val="24"/>
          <w:szCs w:val="24"/>
          <w:lang w:val="ru-RU"/>
        </w:rPr>
      </w:pPr>
      <w:r>
        <w:rPr>
          <w:rFonts w:hint="default"/>
          <w:b/>
          <w:bCs/>
          <w:sz w:val="24"/>
          <w:szCs w:val="24"/>
          <w:lang w:val="ru-RU"/>
        </w:rPr>
        <w:t>12.2.3</w:t>
      </w:r>
      <w:r>
        <w:rPr>
          <w:rFonts w:hint="default"/>
          <w:sz w:val="24"/>
          <w:szCs w:val="24"/>
          <w:lang w:val="ru-RU"/>
        </w:rPr>
        <w:t xml:space="preserve"> Если существует вспомогательная воздушная канатная дорога для эвакуации по канату: расчет продольного профиля для подъемного каната; проверка усилий натяжения каната, наклона каната и несущих усилий на опорах, расстояния между подъемным канатом и тросом или тросом для переноски, если необходимо, о воздействии на кабину подъема или разгрузки подъемного троса и буксировочного троса, о перемещении противовеса, о максимальной мощности привода и необходимом тормозном усилии, а также о безопасной передаче тангенциального усилия на приводной шкив.</w:t>
      </w:r>
    </w:p>
    <w:p>
      <w:pPr>
        <w:autoSpaceDE w:val="0"/>
        <w:autoSpaceDN w:val="0"/>
        <w:adjustRightInd w:val="0"/>
        <w:spacing w:after="0" w:line="240" w:lineRule="auto"/>
        <w:ind w:left="0" w:leftChars="0" w:firstLine="723" w:firstLineChars="300"/>
        <w:jc w:val="both"/>
        <w:rPr>
          <w:rFonts w:hint="default"/>
          <w:b/>
          <w:bCs/>
          <w:sz w:val="24"/>
          <w:szCs w:val="24"/>
          <w:lang w:val="ru-RU"/>
        </w:rPr>
      </w:pPr>
      <w:r>
        <w:rPr>
          <w:rFonts w:hint="default"/>
          <w:b/>
          <w:bCs/>
          <w:sz w:val="24"/>
          <w:szCs w:val="24"/>
          <w:lang w:val="ru-RU"/>
        </w:rPr>
        <w:t>12.3 Для буксировщиков лыж</w:t>
      </w: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Расчет продольного профиля; проверка сил натяжения, наклона каната и опорных усилий на опорах, поперечных соотношений, а также профиля зазора; расчет провеса, перемещения противовеса, максимальной мощности привода и необходимого тормозного усилия, а также безопасная передача тангенциальной силы на приводной шкив.</w:t>
      </w:r>
    </w:p>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3" w:firstLineChars="300"/>
        <w:jc w:val="center"/>
        <w:rPr>
          <w:rFonts w:hint="default"/>
          <w:b/>
          <w:bCs/>
          <w:sz w:val="24"/>
          <w:szCs w:val="24"/>
          <w:lang w:val="ru-RU"/>
        </w:rPr>
      </w:pPr>
      <w:r>
        <w:rPr>
          <w:rFonts w:hint="default"/>
          <w:b/>
          <w:bCs/>
          <w:sz w:val="24"/>
          <w:szCs w:val="24"/>
          <w:lang w:val="ru-RU"/>
        </w:rPr>
        <w:t>Приложение ZA</w:t>
      </w:r>
    </w:p>
    <w:p>
      <w:pPr>
        <w:autoSpaceDE w:val="0"/>
        <w:autoSpaceDN w:val="0"/>
        <w:adjustRightInd w:val="0"/>
        <w:spacing w:after="0" w:line="240" w:lineRule="auto"/>
        <w:ind w:left="0" w:leftChars="0" w:firstLine="723" w:firstLineChars="300"/>
        <w:jc w:val="center"/>
        <w:rPr>
          <w:rFonts w:hint="default"/>
          <w:b/>
          <w:bCs/>
          <w:sz w:val="24"/>
          <w:szCs w:val="24"/>
          <w:lang w:val="ru-RU"/>
        </w:rPr>
      </w:pPr>
      <w:r>
        <w:rPr>
          <w:rFonts w:hint="default"/>
          <w:b/>
          <w:bCs/>
          <w:sz w:val="24"/>
          <w:szCs w:val="24"/>
          <w:lang w:val="ru-RU"/>
        </w:rPr>
        <w:t>(информационное)</w:t>
      </w:r>
    </w:p>
    <w:p>
      <w:pPr>
        <w:autoSpaceDE w:val="0"/>
        <w:autoSpaceDN w:val="0"/>
        <w:adjustRightInd w:val="0"/>
        <w:spacing w:after="0" w:line="240" w:lineRule="auto"/>
        <w:ind w:left="0" w:leftChars="0" w:firstLine="723" w:firstLineChars="300"/>
        <w:jc w:val="center"/>
        <w:rPr>
          <w:rFonts w:hint="default"/>
          <w:b/>
          <w:bCs/>
          <w:sz w:val="24"/>
          <w:szCs w:val="24"/>
          <w:lang w:val="ru-RU"/>
        </w:rPr>
      </w:pPr>
    </w:p>
    <w:p>
      <w:pPr>
        <w:autoSpaceDE w:val="0"/>
        <w:autoSpaceDN w:val="0"/>
        <w:adjustRightInd w:val="0"/>
        <w:spacing w:after="0" w:line="240" w:lineRule="auto"/>
        <w:ind w:left="0" w:leftChars="0" w:firstLine="723" w:firstLineChars="300"/>
        <w:jc w:val="center"/>
        <w:rPr>
          <w:rFonts w:hint="default"/>
          <w:b/>
          <w:bCs/>
          <w:sz w:val="24"/>
          <w:szCs w:val="24"/>
          <w:lang w:val="ru-RU"/>
        </w:rPr>
      </w:pPr>
      <w:r>
        <w:rPr>
          <w:rFonts w:hint="default"/>
          <w:b/>
          <w:bCs/>
          <w:sz w:val="24"/>
          <w:szCs w:val="24"/>
          <w:lang w:val="ru-RU"/>
        </w:rPr>
        <w:t>Взаимосвязь между настоящим стандартом и основными требованиями Директивы ЕС 2000/9/EC, касающимися канатных дорог, предназначенных для перевозки людей</w:t>
      </w:r>
    </w:p>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0" w:firstLineChars="300"/>
        <w:jc w:val="both"/>
        <w:rPr>
          <w:rFonts w:hint="default"/>
          <w:sz w:val="24"/>
          <w:szCs w:val="24"/>
          <w:lang w:val="ru-RU"/>
        </w:rPr>
      </w:pPr>
      <w:r>
        <w:rPr>
          <w:rFonts w:hint="default"/>
          <w:sz w:val="24"/>
          <w:szCs w:val="24"/>
          <w:lang w:val="ru-RU"/>
        </w:rPr>
        <w:t>Настоящий Европейский стандарт был подготовлен в соответствии с мандатом, предоставленным CEN Европейской комиссией и Европейской Ассоциацией свободной торговли, с целью обеспечения соответствия основным требованиям Директивы 2000/9/EC о новом подходе к сооружениям канатных дорог, предназначенным для перевозки людей.</w:t>
      </w:r>
    </w:p>
    <w:p>
      <w:pPr>
        <w:autoSpaceDE w:val="0"/>
        <w:autoSpaceDN w:val="0"/>
        <w:adjustRightInd w:val="0"/>
        <w:spacing w:after="0" w:line="240" w:lineRule="auto"/>
        <w:ind w:left="0" w:leftChars="0" w:firstLine="720" w:firstLineChars="300"/>
        <w:jc w:val="both"/>
        <w:rPr>
          <w:rFonts w:hint="default"/>
          <w:sz w:val="24"/>
          <w:szCs w:val="24"/>
          <w:lang w:val="ru-RU"/>
        </w:rPr>
      </w:pPr>
    </w:p>
    <w:p>
      <w:pPr>
        <w:autoSpaceDE w:val="0"/>
        <w:autoSpaceDN w:val="0"/>
        <w:adjustRightInd w:val="0"/>
        <w:spacing w:after="0" w:line="240" w:lineRule="auto"/>
        <w:ind w:left="0" w:leftChars="0" w:firstLine="723" w:firstLineChars="300"/>
        <w:jc w:val="center"/>
        <w:rPr>
          <w:rFonts w:hint="default"/>
          <w:b/>
          <w:bCs/>
          <w:sz w:val="24"/>
          <w:szCs w:val="24"/>
          <w:lang w:val="ru-RU"/>
        </w:rPr>
      </w:pPr>
      <w:r>
        <w:rPr>
          <w:rFonts w:hint="default"/>
          <w:b/>
          <w:bCs/>
          <w:sz w:val="24"/>
          <w:szCs w:val="24"/>
          <w:lang w:val="ru-RU"/>
        </w:rPr>
        <w:t>Таблица ZA.1 — Соответствие между настоящим стандартом и Директивой 2000/9/EC, касающейся канатных дорог, предназначенных для перевозки людей</w:t>
      </w:r>
    </w:p>
    <w:p>
      <w:pPr>
        <w:autoSpaceDE w:val="0"/>
        <w:autoSpaceDN w:val="0"/>
        <w:adjustRightInd w:val="0"/>
        <w:spacing w:after="0" w:line="240" w:lineRule="auto"/>
        <w:ind w:left="0" w:leftChars="0" w:firstLine="723" w:firstLineChars="300"/>
        <w:jc w:val="center"/>
        <w:rPr>
          <w:rFonts w:hint="default"/>
          <w:b/>
          <w:bCs/>
          <w:sz w:val="24"/>
          <w:szCs w:val="24"/>
          <w:lang w:val="ru-RU"/>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center"/>
          </w:tcPr>
          <w:p>
            <w:pPr>
              <w:autoSpaceDE w:val="0"/>
              <w:autoSpaceDN w:val="0"/>
              <w:adjustRightInd w:val="0"/>
              <w:jc w:val="center"/>
              <w:rPr>
                <w:b/>
                <w:bCs w:val="0"/>
              </w:rPr>
            </w:pPr>
            <w:r>
              <w:rPr>
                <w:rFonts w:hint="default"/>
                <w:b/>
                <w:bCs w:val="0"/>
              </w:rPr>
              <w:t>Пункт(ы)/подпункт(ы) настоящего Европейского стандарта</w:t>
            </w:r>
          </w:p>
        </w:tc>
        <w:tc>
          <w:tcPr>
            <w:tcW w:w="3285" w:type="dxa"/>
            <w:noWrap w:val="0"/>
            <w:vAlign w:val="center"/>
          </w:tcPr>
          <w:p>
            <w:pPr>
              <w:autoSpaceDE w:val="0"/>
              <w:autoSpaceDN w:val="0"/>
              <w:adjustRightInd w:val="0"/>
              <w:jc w:val="center"/>
              <w:rPr>
                <w:b/>
                <w:bCs w:val="0"/>
              </w:rPr>
            </w:pPr>
            <w:r>
              <w:rPr>
                <w:rFonts w:hint="default"/>
                <w:b/>
                <w:bCs w:val="0"/>
              </w:rPr>
              <w:t>Основные требования Директивы 2000/9/EC</w:t>
            </w:r>
          </w:p>
        </w:tc>
        <w:tc>
          <w:tcPr>
            <w:tcW w:w="3285" w:type="dxa"/>
            <w:noWrap w:val="0"/>
            <w:vAlign w:val="center"/>
          </w:tcPr>
          <w:p>
            <w:pPr>
              <w:autoSpaceDE w:val="0"/>
              <w:autoSpaceDN w:val="0"/>
              <w:adjustRightInd w:val="0"/>
              <w:jc w:val="center"/>
              <w:rPr>
                <w:b/>
                <w:bCs w:val="0"/>
              </w:rPr>
            </w:pPr>
            <w:r>
              <w:rPr>
                <w:rFonts w:hint="default"/>
                <w:b/>
                <w:bCs w:val="0"/>
              </w:rPr>
              <w:t>Уточняющие замечания/Примечания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rFonts w:hint="default"/>
                <w:lang w:val="ru-RU"/>
              </w:rPr>
            </w:pPr>
            <w:r>
              <w:rPr>
                <w:lang w:val="ru-RU"/>
              </w:rPr>
              <w:t>Все</w:t>
            </w:r>
            <w:r>
              <w:rPr>
                <w:rFonts w:hint="default"/>
                <w:lang w:val="ru-RU"/>
              </w:rPr>
              <w:t xml:space="preserve"> пункты данного стандарта</w:t>
            </w:r>
          </w:p>
        </w:tc>
        <w:tc>
          <w:tcPr>
            <w:tcW w:w="3285" w:type="dxa"/>
            <w:noWrap w:val="0"/>
            <w:vAlign w:val="top"/>
          </w:tcPr>
          <w:p>
            <w:pPr>
              <w:pStyle w:val="231"/>
              <w:jc w:val="center"/>
              <w:rPr>
                <w:lang w:val="en-GB"/>
              </w:rPr>
            </w:pPr>
            <w:r>
              <w:rPr>
                <w:lang w:val="en-GB"/>
              </w:rPr>
              <w:t>2.4</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en-GB"/>
              </w:rPr>
              <w:t>5.2</w:t>
            </w:r>
          </w:p>
        </w:tc>
        <w:tc>
          <w:tcPr>
            <w:tcW w:w="3285" w:type="dxa"/>
            <w:noWrap w:val="0"/>
            <w:vAlign w:val="top"/>
          </w:tcPr>
          <w:p>
            <w:pPr>
              <w:pStyle w:val="231"/>
              <w:jc w:val="center"/>
              <w:rPr>
                <w:lang w:val="en-GB"/>
              </w:rPr>
            </w:pPr>
            <w:r>
              <w:rPr>
                <w:lang w:val="en-GB"/>
              </w:rPr>
              <w:t>2.2</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lang w:val="en-GB"/>
              </w:rPr>
              <w:t xml:space="preserve"> 6</w:t>
            </w:r>
          </w:p>
        </w:tc>
        <w:tc>
          <w:tcPr>
            <w:tcW w:w="3285" w:type="dxa"/>
            <w:noWrap w:val="0"/>
            <w:vAlign w:val="top"/>
          </w:tcPr>
          <w:p>
            <w:pPr>
              <w:pStyle w:val="231"/>
              <w:jc w:val="center"/>
              <w:rPr>
                <w:lang w:val="en-GB"/>
              </w:rPr>
            </w:pPr>
            <w:r>
              <w:rPr>
                <w:lang w:val="en-GB"/>
              </w:rPr>
              <w:t>3.2.1</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en-GB"/>
              </w:rPr>
              <w:t>6.5.4</w:t>
            </w:r>
          </w:p>
        </w:tc>
        <w:tc>
          <w:tcPr>
            <w:tcW w:w="3285" w:type="dxa"/>
            <w:noWrap w:val="0"/>
            <w:vAlign w:val="top"/>
          </w:tcPr>
          <w:p>
            <w:pPr>
              <w:pStyle w:val="231"/>
              <w:jc w:val="center"/>
              <w:rPr>
                <w:lang w:val="en-GB"/>
              </w:rPr>
            </w:pPr>
            <w:r>
              <w:rPr>
                <w:lang w:val="en-GB"/>
              </w:rPr>
              <w:t>2.3</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en-GB"/>
              </w:rPr>
              <w:t>6.5.5</w:t>
            </w:r>
          </w:p>
        </w:tc>
        <w:tc>
          <w:tcPr>
            <w:tcW w:w="3285" w:type="dxa"/>
            <w:noWrap w:val="0"/>
            <w:vAlign w:val="top"/>
          </w:tcPr>
          <w:p>
            <w:pPr>
              <w:pStyle w:val="231"/>
              <w:jc w:val="center"/>
              <w:rPr>
                <w:lang w:val="en-GB"/>
              </w:rPr>
            </w:pPr>
            <w:r>
              <w:rPr>
                <w:lang w:val="en-GB"/>
              </w:rPr>
              <w:t>2.3</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lang w:val="en-GB"/>
              </w:rPr>
              <w:t xml:space="preserve"> 7</w:t>
            </w:r>
          </w:p>
        </w:tc>
        <w:tc>
          <w:tcPr>
            <w:tcW w:w="3285" w:type="dxa"/>
            <w:noWrap w:val="0"/>
            <w:vAlign w:val="top"/>
          </w:tcPr>
          <w:p>
            <w:pPr>
              <w:pStyle w:val="231"/>
              <w:jc w:val="center"/>
              <w:rPr>
                <w:lang w:val="en-GB"/>
              </w:rPr>
            </w:pPr>
            <w:r>
              <w:rPr>
                <w:lang w:val="en-GB"/>
              </w:rPr>
              <w:t>4.1</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en-GB"/>
              </w:rPr>
              <w:t>7.1.2 to 7.1.4</w:t>
            </w:r>
          </w:p>
        </w:tc>
        <w:tc>
          <w:tcPr>
            <w:tcW w:w="3285" w:type="dxa"/>
            <w:noWrap w:val="0"/>
            <w:vAlign w:val="top"/>
          </w:tcPr>
          <w:p>
            <w:pPr>
              <w:pStyle w:val="231"/>
              <w:jc w:val="center"/>
              <w:rPr>
                <w:lang w:val="en-GB"/>
              </w:rPr>
            </w:pPr>
            <w:r>
              <w:rPr>
                <w:lang w:val="en-GB"/>
              </w:rPr>
              <w:t>2.3</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lang w:val="en-GB"/>
              </w:rPr>
              <w:t xml:space="preserve"> 8</w:t>
            </w:r>
          </w:p>
        </w:tc>
        <w:tc>
          <w:tcPr>
            <w:tcW w:w="3285" w:type="dxa"/>
            <w:noWrap w:val="0"/>
            <w:vAlign w:val="top"/>
          </w:tcPr>
          <w:p>
            <w:pPr>
              <w:pStyle w:val="231"/>
              <w:jc w:val="center"/>
              <w:rPr>
                <w:lang w:val="en-GB"/>
              </w:rPr>
            </w:pPr>
            <w:r>
              <w:rPr>
                <w:lang w:val="en-GB"/>
              </w:rPr>
              <w:t>3.2.1, 4.2.3.1</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lang w:val="en-GB"/>
              </w:rPr>
              <w:t xml:space="preserve"> 9</w:t>
            </w:r>
          </w:p>
        </w:tc>
        <w:tc>
          <w:tcPr>
            <w:tcW w:w="3285" w:type="dxa"/>
            <w:noWrap w:val="0"/>
            <w:vAlign w:val="top"/>
          </w:tcPr>
          <w:p>
            <w:pPr>
              <w:pStyle w:val="231"/>
              <w:jc w:val="center"/>
              <w:rPr>
                <w:lang w:val="en-GB"/>
              </w:rPr>
            </w:pPr>
            <w:r>
              <w:rPr>
                <w:lang w:val="en-GB"/>
              </w:rPr>
              <w:t>4.2.1, 4.2.2</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en-GB"/>
              </w:rPr>
              <w:t>9.2.2</w:t>
            </w:r>
          </w:p>
        </w:tc>
        <w:tc>
          <w:tcPr>
            <w:tcW w:w="3285" w:type="dxa"/>
            <w:noWrap w:val="0"/>
            <w:vAlign w:val="top"/>
          </w:tcPr>
          <w:p>
            <w:pPr>
              <w:pStyle w:val="231"/>
              <w:jc w:val="center"/>
              <w:rPr>
                <w:lang w:val="en-GB"/>
              </w:rPr>
            </w:pPr>
            <w:r>
              <w:rPr>
                <w:lang w:val="en-GB"/>
              </w:rPr>
              <w:t>2.3</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en-GB"/>
              </w:rPr>
              <w:t>9.3.2</w:t>
            </w:r>
          </w:p>
        </w:tc>
        <w:tc>
          <w:tcPr>
            <w:tcW w:w="3285" w:type="dxa"/>
            <w:noWrap w:val="0"/>
            <w:vAlign w:val="top"/>
          </w:tcPr>
          <w:p>
            <w:pPr>
              <w:pStyle w:val="231"/>
              <w:jc w:val="center"/>
              <w:rPr>
                <w:lang w:val="en-GB"/>
              </w:rPr>
            </w:pPr>
            <w:r>
              <w:rPr>
                <w:lang w:val="en-GB"/>
              </w:rPr>
              <w:t>2.3</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lang w:val="en-GB"/>
              </w:rPr>
              <w:t xml:space="preserve"> 10</w:t>
            </w:r>
          </w:p>
        </w:tc>
        <w:tc>
          <w:tcPr>
            <w:tcW w:w="3285" w:type="dxa"/>
            <w:noWrap w:val="0"/>
            <w:vAlign w:val="top"/>
          </w:tcPr>
          <w:p>
            <w:pPr>
              <w:pStyle w:val="231"/>
              <w:jc w:val="center"/>
              <w:rPr>
                <w:lang w:val="en-GB"/>
              </w:rPr>
            </w:pPr>
            <w:r>
              <w:rPr>
                <w:lang w:val="en-GB"/>
              </w:rPr>
              <w:t>4.1, 4.2.3.2</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rFonts w:hint="default"/>
                <w:lang w:val="ru-RU"/>
              </w:rPr>
              <w:t xml:space="preserve"> </w:t>
            </w:r>
            <w:r>
              <w:rPr>
                <w:lang w:val="en-GB"/>
              </w:rPr>
              <w:t>11</w:t>
            </w:r>
          </w:p>
        </w:tc>
        <w:tc>
          <w:tcPr>
            <w:tcW w:w="3285" w:type="dxa"/>
            <w:noWrap w:val="0"/>
            <w:vAlign w:val="top"/>
          </w:tcPr>
          <w:p>
            <w:pPr>
              <w:pStyle w:val="231"/>
              <w:jc w:val="center"/>
              <w:rPr>
                <w:lang w:val="en-GB"/>
              </w:rPr>
            </w:pPr>
            <w:r>
              <w:rPr>
                <w:lang w:val="en-GB"/>
              </w:rPr>
              <w:t>3.2.1</w:t>
            </w:r>
          </w:p>
        </w:tc>
        <w:tc>
          <w:tcPr>
            <w:tcW w:w="3285" w:type="dxa"/>
            <w:noWrap w:val="0"/>
            <w:vAlign w:val="top"/>
          </w:tcPr>
          <w:p>
            <w:pPr>
              <w:pStyle w:val="231"/>
              <w:jc w:val="center"/>
              <w:rPr>
                <w:lang w:val="en-GB"/>
              </w:rPr>
            </w:pPr>
            <w:r>
              <w:rPr>
                <w:szCs w:val="24"/>
                <w:lang w:val="en-GB"/>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noWrap w:val="0"/>
            <w:vAlign w:val="top"/>
          </w:tcPr>
          <w:p>
            <w:pPr>
              <w:pStyle w:val="231"/>
              <w:jc w:val="center"/>
              <w:rPr>
                <w:lang w:val="en-GB"/>
              </w:rPr>
            </w:pPr>
            <w:r>
              <w:rPr>
                <w:lang w:val="ru-RU"/>
              </w:rPr>
              <w:t>Пункт</w:t>
            </w:r>
            <w:r>
              <w:rPr>
                <w:lang w:val="en-GB"/>
              </w:rPr>
              <w:t xml:space="preserve"> 12</w:t>
            </w:r>
          </w:p>
        </w:tc>
        <w:tc>
          <w:tcPr>
            <w:tcW w:w="3285" w:type="dxa"/>
            <w:noWrap w:val="0"/>
            <w:vAlign w:val="top"/>
          </w:tcPr>
          <w:p>
            <w:pPr>
              <w:pStyle w:val="231"/>
              <w:jc w:val="center"/>
              <w:rPr>
                <w:lang w:val="en-GB"/>
              </w:rPr>
            </w:pPr>
            <w:r>
              <w:rPr>
                <w:lang w:val="en-GB"/>
              </w:rPr>
              <w:t>7.1</w:t>
            </w:r>
          </w:p>
        </w:tc>
        <w:tc>
          <w:tcPr>
            <w:tcW w:w="3285" w:type="dxa"/>
            <w:noWrap w:val="0"/>
            <w:vAlign w:val="top"/>
          </w:tcPr>
          <w:p>
            <w:pPr>
              <w:pStyle w:val="231"/>
              <w:jc w:val="center"/>
              <w:rPr>
                <w:lang w:val="en-GB"/>
              </w:rPr>
            </w:pPr>
            <w:r>
              <w:rPr>
                <w:szCs w:val="24"/>
                <w:lang w:val="en-GB"/>
              </w:rPr>
              <w:t> </w:t>
            </w:r>
          </w:p>
        </w:tc>
      </w:tr>
    </w:tbl>
    <w:p>
      <w:pPr>
        <w:keepNext w:val="0"/>
        <w:keepLines w:val="0"/>
        <w:widowControl/>
        <w:suppressLineNumbers w:val="0"/>
        <w:jc w:val="both"/>
      </w:pPr>
    </w:p>
    <w:p>
      <w:pPr>
        <w:keepNext w:val="0"/>
        <w:keepLines w:val="0"/>
        <w:widowControl/>
        <w:suppressLineNumbers w:val="0"/>
        <w:ind w:left="0" w:leftChars="0" w:firstLine="602" w:firstLineChars="300"/>
        <w:jc w:val="both"/>
      </w:pPr>
      <w:r>
        <w:rPr>
          <w:rFonts w:hint="default"/>
          <w:b/>
          <w:bCs/>
        </w:rPr>
        <w:t>ПРЕДУПРЕЖДЕНИЕ</w:t>
      </w:r>
      <w:r>
        <w:rPr>
          <w:rFonts w:hint="default"/>
        </w:rPr>
        <w:t xml:space="preserve"> — К изделиям, подпадающим под действие настоящего Стандарта, могут применяться другие требования и другие директивы ЕС.</w:t>
      </w: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tabs>
          <w:tab w:val="left" w:pos="709"/>
        </w:tabs>
        <w:ind w:firstLine="567"/>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РАЗРАБОТЧИК:</w:t>
      </w:r>
    </w:p>
    <w:p>
      <w:pPr>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Республиканское государственное предприятие </w:t>
      </w:r>
      <w:r>
        <w:rPr>
          <w:rFonts w:hint="default" w:ascii="Times New Roman" w:hAnsi="Times New Roman" w:cs="Times New Roman"/>
          <w:sz w:val="24"/>
          <w:szCs w:val="24"/>
          <w:lang w:val="kk-KZ"/>
        </w:rPr>
        <w:t xml:space="preserve">на праве хозяйственного ведения </w:t>
      </w:r>
      <w:r>
        <w:rPr>
          <w:rFonts w:hint="default" w:ascii="Times New Roman" w:hAnsi="Times New Roman" w:cs="Times New Roman"/>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pPr>
        <w:ind w:firstLine="567"/>
        <w:rPr>
          <w:rFonts w:hint="default" w:ascii="Times New Roman" w:hAnsi="Times New Roman" w:cs="Times New Roman"/>
          <w:sz w:val="24"/>
          <w:szCs w:val="24"/>
        </w:rPr>
      </w:pPr>
    </w:p>
    <w:p>
      <w:pPr>
        <w:tabs>
          <w:tab w:val="left" w:pos="6495"/>
        </w:tabs>
        <w:ind w:firstLine="567"/>
        <w:rPr>
          <w:rFonts w:hint="default" w:ascii="Times New Roman" w:hAnsi="Times New Roman" w:cs="Times New Roman"/>
          <w:b/>
          <w:sz w:val="24"/>
          <w:szCs w:val="24"/>
          <w:lang w:eastAsia="en-US"/>
        </w:rPr>
      </w:pPr>
    </w:p>
    <w:p>
      <w:pPr>
        <w:ind w:left="709"/>
        <w:rPr>
          <w:rFonts w:hint="default" w:ascii="Times New Roman" w:hAnsi="Times New Roman" w:cs="Times New Roman"/>
          <w:b/>
          <w:sz w:val="24"/>
          <w:szCs w:val="24"/>
        </w:rPr>
      </w:pPr>
      <w:r>
        <w:rPr>
          <w:rFonts w:hint="default" w:ascii="Times New Roman" w:hAnsi="Times New Roman" w:cs="Times New Roman"/>
          <w:b/>
          <w:sz w:val="24"/>
          <w:szCs w:val="24"/>
        </w:rPr>
        <w:t>Заместитель Генерального директора</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495"/>
          <w:tab w:val="left" w:pos="6946"/>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val="kk-KZ" w:eastAsia="en-US"/>
        </w:rPr>
        <w:t xml:space="preserve">      </w:t>
      </w:r>
      <w:r>
        <w:rPr>
          <w:rFonts w:hint="default" w:ascii="Times New Roman" w:hAnsi="Times New Roman" w:cs="Times New Roman"/>
          <w:b/>
          <w:sz w:val="24"/>
          <w:szCs w:val="28"/>
        </w:rPr>
        <w:t>С. Радаев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Руководитель</w:t>
      </w:r>
      <w:r>
        <w:rPr>
          <w:rFonts w:hint="default" w:ascii="Times New Roman" w:hAnsi="Times New Roman" w:cs="Times New Roman"/>
          <w:b/>
          <w:sz w:val="24"/>
          <w:szCs w:val="24"/>
        </w:rPr>
        <w:t xml:space="preserve"> </w:t>
      </w:r>
    </w:p>
    <w:p>
      <w:pPr>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Департамента разработки НТД </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946"/>
          <w:tab w:val="left" w:pos="7088"/>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А. Сопбеков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 </w:t>
      </w:r>
    </w:p>
    <w:p>
      <w:pPr>
        <w:tabs>
          <w:tab w:val="left" w:pos="6495"/>
        </w:tabs>
        <w:ind w:left="709"/>
        <w:rPr>
          <w:rFonts w:hint="default" w:ascii="Times New Roman" w:hAnsi="Times New Roman" w:cs="Times New Roman"/>
          <w:b/>
          <w:sz w:val="24"/>
          <w:szCs w:val="24"/>
          <w:lang w:val="ru-RU" w:eastAsia="en-US"/>
        </w:rPr>
      </w:pPr>
      <w:r>
        <w:rPr>
          <w:rFonts w:hint="default" w:ascii="Times New Roman" w:hAnsi="Times New Roman" w:cs="Times New Roman"/>
          <w:b/>
          <w:sz w:val="24"/>
          <w:szCs w:val="24"/>
          <w:lang w:val="ru-RU" w:eastAsia="en-US"/>
        </w:rPr>
        <w:t>С</w:t>
      </w:r>
      <w:r>
        <w:rPr>
          <w:rFonts w:hint="default" w:ascii="Times New Roman" w:hAnsi="Times New Roman" w:cs="Times New Roman"/>
          <w:b/>
          <w:sz w:val="24"/>
          <w:szCs w:val="24"/>
          <w:lang w:eastAsia="en-US"/>
        </w:rPr>
        <w:t>пециалист</w:t>
      </w:r>
      <w:r>
        <w:rPr>
          <w:rFonts w:hint="default" w:ascii="Times New Roman" w:hAnsi="Times New Roman" w:cs="Times New Roman"/>
          <w:b/>
          <w:sz w:val="24"/>
          <w:szCs w:val="24"/>
          <w:lang w:val="ru-RU" w:eastAsia="en-US"/>
        </w:rPr>
        <w:t xml:space="preserve"> по стандартизации</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suppressAutoHyphens/>
        <w:ind w:left="709"/>
        <w:rPr>
          <w:rFonts w:hint="default" w:ascii="Times New Roman" w:hAnsi="Times New Roman" w:cs="Times New Roman"/>
          <w:sz w:val="24"/>
          <w:szCs w:val="24"/>
          <w:lang w:val="ru-RU"/>
        </w:rPr>
      </w:pPr>
      <w:r>
        <w:rPr>
          <w:rFonts w:hint="default" w:ascii="Times New Roman" w:hAnsi="Times New Roman" w:cs="Times New Roman"/>
          <w:b/>
          <w:sz w:val="24"/>
          <w:szCs w:val="24"/>
        </w:rPr>
        <w:t xml:space="preserve">стандартизации и метрологии»                                               </w:t>
      </w:r>
      <w:r>
        <w:rPr>
          <w:rFonts w:hint="default" w:ascii="Times New Roman" w:hAnsi="Times New Roman" w:cs="Times New Roman"/>
          <w:b/>
          <w:sz w:val="24"/>
          <w:szCs w:val="24"/>
          <w:lang w:val="ru-RU"/>
        </w:rPr>
        <w:t>К. Цечоев</w:t>
      </w:r>
    </w:p>
    <w:p>
      <w:pPr>
        <w:suppressAutoHyphens/>
        <w:jc w:val="both"/>
        <w:rPr>
          <w:rFonts w:hint="default"/>
        </w:rPr>
      </w:pPr>
      <w:r>
        <w:rPr>
          <w:color w:val="000000"/>
          <w:lang w:eastAsia="de-CH"/>
        </w:rPr>
        <mc:AlternateContent>
          <mc:Choice Requires="wps">
            <w:drawing>
              <wp:anchor distT="0" distB="0" distL="114300" distR="114300" simplePos="0" relativeHeight="251664384" behindDoc="0" locked="0" layoutInCell="1" allowOverlap="1">
                <wp:simplePos x="0" y="0"/>
                <wp:positionH relativeFrom="column">
                  <wp:posOffset>1285875</wp:posOffset>
                </wp:positionH>
                <wp:positionV relativeFrom="paragraph">
                  <wp:posOffset>6744970</wp:posOffset>
                </wp:positionV>
                <wp:extent cx="3100705" cy="653415"/>
                <wp:effectExtent l="4445" t="5080" r="6350" b="14605"/>
                <wp:wrapNone/>
                <wp:docPr id="171" name="Прямоугольник 171"/>
                <wp:cNvGraphicFramePr/>
                <a:graphic xmlns:a="http://schemas.openxmlformats.org/drawingml/2006/main">
                  <a:graphicData uri="http://schemas.microsoft.com/office/word/2010/wordprocessingShape">
                    <wps:wsp>
                      <wps:cNvSpPr/>
                      <wps:spPr>
                        <a:xfrm>
                          <a:off x="0" y="0"/>
                          <a:ext cx="3100705" cy="653415"/>
                        </a:xfrm>
                        <a:prstGeom prst="rect">
                          <a:avLst/>
                        </a:prstGeom>
                        <a:noFill/>
                        <a:ln w="9525" cap="flat" cmpd="sng">
                          <a:solidFill>
                            <a:srgbClr val="000000"/>
                          </a:solidFill>
                          <a:prstDash val="solid"/>
                          <a:miter/>
                          <a:headEnd type="none" w="med" len="med"/>
                          <a:tailEnd type="none" w="med" len="med"/>
                        </a:ln>
                      </wps:spPr>
                      <wps:txbx>
                        <w:txbxContent>
                          <w:p>
                            <w:pPr>
                              <w:jc w:val="center"/>
                              <w:rPr>
                                <w:rFonts w:cs="Arial"/>
                                <w:b/>
                                <w:sz w:val="16"/>
                                <w:szCs w:val="16"/>
                              </w:rPr>
                            </w:pPr>
                            <w:r>
                              <w:rPr>
                                <w:rFonts w:cs="Arial"/>
                                <w:b/>
                                <w:sz w:val="16"/>
                                <w:szCs w:val="16"/>
                              </w:rPr>
                              <w:t>by means of subsystem</w:t>
                            </w:r>
                          </w:p>
                        </w:txbxContent>
                      </wps:txbx>
                      <wps:bodyPr vert="vert270" upright="1"/>
                    </wps:wsp>
                  </a:graphicData>
                </a:graphic>
              </wp:anchor>
            </w:drawing>
          </mc:Choice>
          <mc:Fallback>
            <w:pict>
              <v:rect id="_x0000_s1026" o:spid="_x0000_s1026" o:spt="1" style="position:absolute;left:0pt;margin-left:101.25pt;margin-top:531.1pt;height:51.45pt;width:244.15pt;z-index:251664384;mso-width-relative:page;mso-height-relative:page;" filled="f" stroked="t" coordsize="21600,21600" o:gfxdata="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h&#10;lyvE2wAAAA0BAAAPAAAAAAAAAAEAIAAAACIAAABkcnMvZG93bnJldi54bWxQSwECFAAUAAAACACH&#10;TuJAtfW9SSECAAAnBAAADgAAAAAAAAABACAAAAAqAQAAZHJzL2Uyb0RvYy54bWxQSwUGAAAAAAYA&#10;BgBZAQAAvQUAAAAA&#10;">
                <v:fill on="f" focussize="0,0"/>
                <v:stroke color="#000000" joinstyle="miter"/>
                <v:imagedata o:title=""/>
                <o:lock v:ext="edit" aspectratio="f"/>
                <v:textbox style="layout-flow:vertical;mso-layout-flow-alt:bottom-to-top;">
                  <w:txbxContent>
                    <w:p>
                      <w:pPr>
                        <w:jc w:val="center"/>
                        <w:rPr>
                          <w:rFonts w:cs="Arial"/>
                          <w:b/>
                          <w:sz w:val="16"/>
                          <w:szCs w:val="16"/>
                        </w:rPr>
                      </w:pPr>
                      <w:r>
                        <w:rPr>
                          <w:rFonts w:cs="Arial"/>
                          <w:b/>
                          <w:sz w:val="16"/>
                          <w:szCs w:val="16"/>
                        </w:rPr>
                        <w:t>by means of subsystem</w:t>
                      </w:r>
                    </w:p>
                  </w:txbxContent>
                </v:textbox>
              </v:rect>
            </w:pict>
          </mc:Fallback>
        </mc:AlternateContent>
      </w:r>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6" w:h="16838"/>
      <w:pgMar w:top="1418" w:right="1134" w:bottom="1418" w:left="1418" w:header="1021" w:footer="1021" w:gutter="0"/>
      <w:pgNumType w:fmt="decimal" w:start="7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Franklin Gothic Demi Cond">
    <w:altName w:val="Yu Gothic UI Semibold"/>
    <w:panose1 w:val="020B0706030402020204"/>
    <w:charset w:val="CC"/>
    <w:family w:val="swiss"/>
    <w:pitch w:val="default"/>
    <w:sig w:usb0="00000000" w:usb1="00000000" w:usb2="00000000" w:usb3="00000000" w:csb0="0000009F" w:csb1="00000000"/>
  </w:font>
  <w:font w:name="Yu Gothic UI Semibold">
    <w:panose1 w:val="020B0700000000000000"/>
    <w:charset w:val="80"/>
    <w:family w:val="auto"/>
    <w:pitch w:val="default"/>
    <w:sig w:usb0="E00002FF" w:usb1="2AC7FDFF" w:usb2="00000016" w:usb3="00000000" w:csb0="2002009F" w:csb1="00000000"/>
  </w:font>
  <w:font w:name="Times New Roman CYR">
    <w:altName w:val="Times New Roman"/>
    <w:panose1 w:val="02020603050405020304"/>
    <w:charset w:val="CC"/>
    <w:family w:val="roman"/>
    <w:pitch w:val="default"/>
    <w:sig w:usb0="00000000" w:usb1="00000000" w:usb2="00000009" w:usb3="00000000" w:csb0="000001FF" w:csb1="00000000"/>
  </w:font>
  <w:font w:name="Book Antiqua">
    <w:altName w:val="Segoe Print"/>
    <w:panose1 w:val="02040602050305030304"/>
    <w:charset w:val="CC"/>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CC"/>
    <w:family w:val="roman"/>
    <w:pitch w:val="default"/>
    <w:sig w:usb0="00000287" w:usb1="00000000" w:usb2="00000000" w:usb3="00000000" w:csb0="2000009F" w:csb1="00000000"/>
  </w:font>
  <w:font w:name="Aharoni">
    <w:altName w:val="Segoe UI Semibold"/>
    <w:panose1 w:val="02010803020104030203"/>
    <w:charset w:val="B1"/>
    <w:family w:val="auto"/>
    <w:pitch w:val="default"/>
    <w:sig w:usb0="00000000" w:usb1="00000000" w:usb2="00000000" w:usb3="00000000" w:csb0="00000020" w:csb1="00000000"/>
  </w:font>
  <w:font w:name="Segoe UI Semibold">
    <w:panose1 w:val="020B0702040204020203"/>
    <w:charset w:val="00"/>
    <w:family w:val="auto"/>
    <w:pitch w:val="default"/>
    <w:sig w:usb0="E4002EFF" w:usb1="C000E47F" w:usb2="00000009" w:usb3="00000000" w:csb0="200001FF" w:csb1="00000000"/>
  </w:font>
  <w:font w:name="Gungsuh">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ndara">
    <w:panose1 w:val="020E0502030303020204"/>
    <w:charset w:val="CC"/>
    <w:family w:val="swiss"/>
    <w:pitch w:val="default"/>
    <w:sig w:usb0="A00002EF" w:usb1="4000A44B" w:usb2="00000000" w:usb3="00000000" w:csb0="2000019F" w:csb1="00000000"/>
  </w:font>
  <w:font w:name="Palatino Linotype">
    <w:panose1 w:val="02040502050505030304"/>
    <w:charset w:val="CC"/>
    <w:family w:val="roman"/>
    <w:pitch w:val="default"/>
    <w:sig w:usb0="E0000287" w:usb1="40000013" w:usb2="00000000" w:usb3="00000000" w:csb0="2000019F" w:csb1="00000000"/>
  </w:font>
  <w:font w:name="Angsana New">
    <w:altName w:val="Microsoft Sans Serif"/>
    <w:panose1 w:val="02020603050405020304"/>
    <w:charset w:val="00"/>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Liberation Sans">
    <w:altName w:val="Arial"/>
    <w:panose1 w:val="00000000000000000000"/>
    <w:charset w:val="00"/>
    <w:family w:val="auto"/>
    <w:pitch w:val="default"/>
    <w:sig w:usb0="00000000" w:usb1="00000000" w:usb2="00000000" w:usb3="00000000" w:csb0="00040001" w:csb1="00000000"/>
  </w:font>
  <w:font w:name="Mangal">
    <w:altName w:val="Segoe Print"/>
    <w:panose1 w:val="02040503050203030202"/>
    <w:charset w:val="00"/>
    <w:family w:val="roman"/>
    <w:pitch w:val="default"/>
    <w:sig w:usb0="00000000" w:usb1="00000000" w:usb2="00000000" w:usb3="00000000" w:csb0="00000001" w:csb1="00000000"/>
  </w:font>
  <w:font w:name="ArialUnicodeMS">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Надпись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txbxContent>
                    </wps:txbx>
                    <wps:bodyPr vert="horz" wrap="none" lIns="0" tIns="0" rIns="0" bIns="0" anchor="t" anchorCtr="0" upright="0">
                      <a:spAutoFit/>
                    </wps:bodyPr>
                  </wps:wsp>
                </a:graphicData>
              </a:graphic>
            </wp:anchor>
          </w:drawing>
        </mc:Choice>
        <mc:Fallback>
          <w:pict>
            <v:shape id="Надпись 4"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l5uc8A&#10;AAAFAQAADwAAAAAAAAABACAAAAAiAAAAZHJzL2Rvd25yZXYueG1sUEsBAhQAFAAAAAgAh07iQEGY&#10;qtXvAQAAzQMAAA4AAAAAAAAAAQAgAAAAHgEAAGRycy9lMm9Eb2MueG1sUEsFBgAAAAAGAAYAWQEA&#10;AH8FA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25" name="Надпись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7"/>
                          </w:pPr>
                        </w:p>
                      </w:txbxContent>
                    </wps:txbx>
                    <wps:bodyPr vert="horz" wrap="none" lIns="0" tIns="0" rIns="0" bIns="0" anchor="t" anchorCtr="0" upright="0">
                      <a:spAutoFit/>
                    </wps:bodyPr>
                  </wps:wsp>
                </a:graphicData>
              </a:graphic>
            </wp:anchor>
          </w:drawing>
        </mc:Choice>
        <mc:Fallback>
          <w:pict>
            <v:shape id="Надпись 5"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qXm5zwAA&#10;AAUBAAAPAAAAAAAAAAEAIAAAACIAAABkcnMvZG93bnJldi54bWxQSwECFAAUAAAACACHTuJARE9F&#10;t+4BAADNAwAADgAAAAAAAAABACAAAAAeAQAAZHJzL2Uyb0RvYy54bWxQSwUGAAAAAAYABgBZAQAA&#10;fgUAAAAA&#10;">
              <v:fill on="f" focussize="0,0"/>
              <v:stroke on="f"/>
              <v:imagedata o:title=""/>
              <o:lock v:ext="edit" aspectratio="f"/>
              <v:textbox inset="0mm,0mm,0mm,0mm" style="mso-fit-shape-to-text:t;">
                <w:txbxContent>
                  <w:p>
                    <w:pPr>
                      <w:pStyle w:val="27"/>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fldChar w:fldCharType="begin"/>
    </w:r>
    <w:r>
      <w:instrText xml:space="preserve">PAGE   \* MERGEFORMAT</w:instrText>
    </w:r>
    <w:r>
      <w:fldChar w:fldCharType="separate"/>
    </w:r>
    <w:r>
      <w:rPr>
        <w:lang w:val="ru-RU"/>
      </w:rPr>
      <w:t>70</w:t>
    </w:r>
    <w:r>
      <w:fldChar w:fldCharType="end"/>
    </w:r>
  </w:p>
  <w:p>
    <w:pPr>
      <w:pStyle w:val="27"/>
      <w:rPr>
        <w:b/>
        <w:bCs/>
        <w:sz w:val="24"/>
        <w:szCs w:val="24"/>
        <w:lang w:val="ru-RU"/>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w:rPr>
        <w:b/>
        <w:color w:val="000000"/>
        <w:sz w:val="24"/>
        <w:szCs w:val="24"/>
      </w:rPr>
      <w:t xml:space="preserve">СТ РК </w:t>
    </w:r>
  </w:p>
  <w:p>
    <w:pPr>
      <w:widowControl/>
      <w:autoSpaceDE/>
      <w:autoSpaceDN/>
      <w:adjustRightInd/>
      <w:jc w:val="right"/>
      <w:rPr>
        <w:b/>
        <w:color w:val="000000"/>
        <w:sz w:val="24"/>
        <w:szCs w:val="24"/>
      </w:rPr>
    </w:pPr>
    <w:r>
      <w:rPr>
        <w:i/>
        <w:color w:val="000000"/>
        <w:sz w:val="24"/>
        <w:szCs w:val="24"/>
      </w:rPr>
      <w:t>(проект, редакция 1)</w:t>
    </w:r>
  </w:p>
  <w:p>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rPr>
        <w:b/>
        <w:color w:val="000000"/>
        <w:sz w:val="24"/>
        <w:szCs w:val="24"/>
      </w:rPr>
    </w:pPr>
    <w:r>
      <w:rPr>
        <w:b/>
        <w:color w:val="000000"/>
        <w:sz w:val="24"/>
        <w:szCs w:val="24"/>
      </w:rPr>
      <w:t xml:space="preserve">СТ РК </w:t>
    </w:r>
  </w:p>
  <w:p>
    <w:pPr>
      <w:widowControl/>
      <w:autoSpaceDE/>
      <w:autoSpaceDN/>
      <w:adjustRightInd/>
      <w:rPr>
        <w:b/>
        <w:color w:val="000000"/>
        <w:sz w:val="24"/>
        <w:szCs w:val="24"/>
      </w:rPr>
    </w:pPr>
    <w:r>
      <w:rPr>
        <w:i/>
        <w:color w:val="000000"/>
        <w:sz w:val="24"/>
        <w:szCs w:val="24"/>
      </w:rPr>
      <w:t>(проект, редакция 1</w:t>
    </w:r>
  </w:p>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mc:AlternateContent>
        <mc:Choice Requires="wps">
          <w:drawing>
            <wp:anchor distT="0" distB="0" distL="114300" distR="114300" simplePos="0" relativeHeight="251661312"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3"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1312;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B40KwHQgIAAFMEAAAOAAAAAAAAAAEAIAAA&#10;ACYBAABkcnMvZTJvRG9jLnhtbFBLBQYAAAAABgAGAFkBAADaBQAAAAA=&#10;">
              <v:fill on="t" focussize="0,0"/>
              <v:stroke on="f"/>
              <v:imagedata o:title=""/>
              <o:lock v:ext="edit" aspectratio="f"/>
              <v:textbox>
                <w:txbxContent>
                  <w:p>
                    <w:pPr>
                      <w:jc w:val="center"/>
                    </w:pPr>
                  </w:p>
                </w:txbxContent>
              </v:textbox>
            </v:rect>
          </w:pict>
        </mc:Fallback>
      </mc:AlternateContent>
    </w:r>
    <w: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2"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0288;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ggV69cAAAAHAQAADwAAAAAAAAABACAAAAAiAAAA&#10;ZHJzL2Rvd25yZXYueG1sUEsBAhQAFAAAAAgAh07iQK7/gNVBAgAAUwQAAA4AAAAAAAAAAQAgAAAA&#10;JgEAAGRycy9lMm9Eb2MueG1sUEsFBgAAAAAGAAYAWQEAANkFA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v:textbox>
            </v:rect>
          </w:pict>
        </mc:Fallback>
      </mc:AlternateContent>
    </w:r>
    <w: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544"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59264;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AFZVrrQgIAAFQEAAAOAAAAAAAAAAEAIAAA&#10;ACYBAABkcnMvZTJvRG9jLnhtbFBLBQYAAAAABgAGAFkBAADaBQ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v:textbox>
            </v:rect>
          </w:pict>
        </mc:Fallback>
      </mc:AlternateContent>
    </w:r>
    <w:r>
      <w:rPr>
        <w:b/>
        <w:color w:val="000000"/>
        <w:sz w:val="24"/>
        <w:szCs w:val="24"/>
      </w:rPr>
      <w:t xml:space="preserve">СТ РК </w:t>
    </w:r>
  </w:p>
  <w:p>
    <w:pPr>
      <w:pStyle w:val="20"/>
      <w:jc w:val="right"/>
    </w:pPr>
    <w:r>
      <w:rPr>
        <w:i/>
        <w:color w:val="000000"/>
        <w:sz w:val="24"/>
        <w:szCs w:val="24"/>
        <w:lang w:val="ru-RU" w:eastAsia="ru-RU"/>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10E1C"/>
    <w:multiLevelType w:val="singleLevel"/>
    <w:tmpl w:val="DE810E1C"/>
    <w:lvl w:ilvl="0" w:tentative="0">
      <w:start w:val="1"/>
      <w:numFmt w:val="decimal"/>
      <w:suff w:val="space"/>
      <w:lvlText w:val="%1)"/>
      <w:lvlJc w:val="left"/>
    </w:lvl>
  </w:abstractNum>
  <w:abstractNum w:abstractNumId="1">
    <w:nsid w:val="22BE35A3"/>
    <w:multiLevelType w:val="singleLevel"/>
    <w:tmpl w:val="22BE35A3"/>
    <w:lvl w:ilvl="0" w:tentative="0">
      <w:start w:val="1"/>
      <w:numFmt w:val="decimal"/>
      <w:pStyle w:val="28"/>
      <w:lvlText w:val="%1."/>
      <w:lvlJc w:val="left"/>
      <w:pPr>
        <w:tabs>
          <w:tab w:val="left" w:pos="360"/>
        </w:tabs>
        <w:ind w:left="360" w:hanging="360"/>
      </w:pPr>
    </w:lvl>
  </w:abstractNum>
  <w:abstractNum w:abstractNumId="2">
    <w:nsid w:val="387D4433"/>
    <w:multiLevelType w:val="multilevel"/>
    <w:tmpl w:val="387D4433"/>
    <w:lvl w:ilvl="0" w:tentative="0">
      <w:start w:val="1"/>
      <w:numFmt w:val="bullet"/>
      <w:pStyle w:val="16"/>
      <w:lvlText w:val=""/>
      <w:lvlJc w:val="left"/>
      <w:pPr>
        <w:ind w:left="400" w:hanging="400"/>
      </w:pPr>
      <w:rPr>
        <w:rFonts w:hint="default" w:ascii="Symbol" w:hAnsi="Symbol"/>
      </w:rPr>
    </w:lvl>
    <w:lvl w:ilvl="1" w:tentative="0">
      <w:start w:val="1"/>
      <w:numFmt w:val="bullet"/>
      <w:lvlText w:val=""/>
      <w:lvlJc w:val="left"/>
      <w:pPr>
        <w:ind w:left="800" w:hanging="400"/>
      </w:pPr>
      <w:rPr>
        <w:rFonts w:hint="default" w:ascii="Symbol" w:hAnsi="Symbol"/>
      </w:rPr>
    </w:lvl>
    <w:lvl w:ilvl="2" w:tentative="0">
      <w:start w:val="1"/>
      <w:numFmt w:val="bullet"/>
      <w:lvlText w:val=""/>
      <w:lvlJc w:val="left"/>
      <w:pPr>
        <w:ind w:left="1200" w:hanging="400"/>
      </w:pPr>
      <w:rPr>
        <w:rFonts w:hint="default" w:ascii="Symbol" w:hAnsi="Symbol"/>
      </w:rPr>
    </w:lvl>
    <w:lvl w:ilvl="3" w:tentative="0">
      <w:start w:val="1"/>
      <w:numFmt w:val="bullet"/>
      <w:lvlText w:val=""/>
      <w:lvlJc w:val="left"/>
      <w:pPr>
        <w:ind w:left="1600" w:hanging="400"/>
      </w:pPr>
      <w:rPr>
        <w:rFonts w:hint="default" w:ascii="Symbol" w:hAnsi="Symbol"/>
      </w:rPr>
    </w:lvl>
    <w:lvl w:ilvl="4" w:tentative="0">
      <w:start w:val="1"/>
      <w:numFmt w:val="bullet"/>
      <w:lvlText w:val=" "/>
      <w:lvlJc w:val="left"/>
      <w:pPr>
        <w:ind w:left="0" w:firstLine="0"/>
      </w:pPr>
    </w:lvl>
    <w:lvl w:ilvl="5" w:tentative="0">
      <w:start w:val="1"/>
      <w:numFmt w:val="bullet"/>
      <w:lvlText w:val=" "/>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9"/>
  <w:hyphenationZone w:val="360"/>
  <w:evenAndOddHeaders w:val="1"/>
  <w:displayHorizontalDrawingGridEvery w:val="1"/>
  <w:displayVerticalDrawingGridEvery w:val="1"/>
  <w:noPunctuationKerning w:val="1"/>
  <w:characterSpacingControl w:val="doNotCompress"/>
  <w:footnotePr>
    <w:numFmt w:val="chicago"/>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0DE"/>
    <w:rsid w:val="0000077A"/>
    <w:rsid w:val="00000BF4"/>
    <w:rsid w:val="00000F1F"/>
    <w:rsid w:val="0000120C"/>
    <w:rsid w:val="0000170A"/>
    <w:rsid w:val="00001888"/>
    <w:rsid w:val="00001B66"/>
    <w:rsid w:val="00001C1C"/>
    <w:rsid w:val="00001C31"/>
    <w:rsid w:val="00001EB0"/>
    <w:rsid w:val="00004D02"/>
    <w:rsid w:val="0000529E"/>
    <w:rsid w:val="000053E2"/>
    <w:rsid w:val="000057D6"/>
    <w:rsid w:val="00005D0D"/>
    <w:rsid w:val="00007759"/>
    <w:rsid w:val="00007CD7"/>
    <w:rsid w:val="00010182"/>
    <w:rsid w:val="000102CA"/>
    <w:rsid w:val="00010EC6"/>
    <w:rsid w:val="00011014"/>
    <w:rsid w:val="00012371"/>
    <w:rsid w:val="00013415"/>
    <w:rsid w:val="0001385F"/>
    <w:rsid w:val="0001440A"/>
    <w:rsid w:val="00014C90"/>
    <w:rsid w:val="00014D51"/>
    <w:rsid w:val="00014DF5"/>
    <w:rsid w:val="00014F7E"/>
    <w:rsid w:val="000163B4"/>
    <w:rsid w:val="00016C3F"/>
    <w:rsid w:val="00017191"/>
    <w:rsid w:val="00017AED"/>
    <w:rsid w:val="00020CBB"/>
    <w:rsid w:val="0002154C"/>
    <w:rsid w:val="0002156F"/>
    <w:rsid w:val="00022948"/>
    <w:rsid w:val="00024EA4"/>
    <w:rsid w:val="0002547F"/>
    <w:rsid w:val="00025CCD"/>
    <w:rsid w:val="00026C44"/>
    <w:rsid w:val="00027C75"/>
    <w:rsid w:val="000304BC"/>
    <w:rsid w:val="0003076D"/>
    <w:rsid w:val="00030B24"/>
    <w:rsid w:val="00030B45"/>
    <w:rsid w:val="00030E98"/>
    <w:rsid w:val="00031D66"/>
    <w:rsid w:val="00032407"/>
    <w:rsid w:val="00032803"/>
    <w:rsid w:val="000328FE"/>
    <w:rsid w:val="00033E46"/>
    <w:rsid w:val="00034461"/>
    <w:rsid w:val="00034A92"/>
    <w:rsid w:val="00034C5A"/>
    <w:rsid w:val="00035705"/>
    <w:rsid w:val="00035FB8"/>
    <w:rsid w:val="00036465"/>
    <w:rsid w:val="00037BED"/>
    <w:rsid w:val="000407A8"/>
    <w:rsid w:val="00041188"/>
    <w:rsid w:val="0004175E"/>
    <w:rsid w:val="00042114"/>
    <w:rsid w:val="00042CAD"/>
    <w:rsid w:val="000430F5"/>
    <w:rsid w:val="000436D1"/>
    <w:rsid w:val="000438E8"/>
    <w:rsid w:val="00043C1A"/>
    <w:rsid w:val="0004520C"/>
    <w:rsid w:val="00045866"/>
    <w:rsid w:val="0004626F"/>
    <w:rsid w:val="000463AA"/>
    <w:rsid w:val="00046535"/>
    <w:rsid w:val="00046B7E"/>
    <w:rsid w:val="0004759C"/>
    <w:rsid w:val="00050DD2"/>
    <w:rsid w:val="00050FA3"/>
    <w:rsid w:val="00052067"/>
    <w:rsid w:val="000521FE"/>
    <w:rsid w:val="00053738"/>
    <w:rsid w:val="000538E4"/>
    <w:rsid w:val="00053986"/>
    <w:rsid w:val="00053B15"/>
    <w:rsid w:val="00053DE7"/>
    <w:rsid w:val="00053E61"/>
    <w:rsid w:val="0005424E"/>
    <w:rsid w:val="0005449C"/>
    <w:rsid w:val="000548C7"/>
    <w:rsid w:val="00054B2F"/>
    <w:rsid w:val="00055372"/>
    <w:rsid w:val="00055869"/>
    <w:rsid w:val="0005595F"/>
    <w:rsid w:val="00055B3C"/>
    <w:rsid w:val="00055F41"/>
    <w:rsid w:val="00056652"/>
    <w:rsid w:val="00056AE6"/>
    <w:rsid w:val="00056D40"/>
    <w:rsid w:val="000575AC"/>
    <w:rsid w:val="00057CB4"/>
    <w:rsid w:val="000601FB"/>
    <w:rsid w:val="00060D11"/>
    <w:rsid w:val="0006133A"/>
    <w:rsid w:val="00061B9B"/>
    <w:rsid w:val="00061C9F"/>
    <w:rsid w:val="00063291"/>
    <w:rsid w:val="00063819"/>
    <w:rsid w:val="00063E2E"/>
    <w:rsid w:val="000649DB"/>
    <w:rsid w:val="00066526"/>
    <w:rsid w:val="00066571"/>
    <w:rsid w:val="00066643"/>
    <w:rsid w:val="0006779C"/>
    <w:rsid w:val="00067990"/>
    <w:rsid w:val="00067FFE"/>
    <w:rsid w:val="000705E5"/>
    <w:rsid w:val="000719CE"/>
    <w:rsid w:val="00071B60"/>
    <w:rsid w:val="00071C00"/>
    <w:rsid w:val="00071CA3"/>
    <w:rsid w:val="000724E4"/>
    <w:rsid w:val="00073161"/>
    <w:rsid w:val="00073890"/>
    <w:rsid w:val="0007398C"/>
    <w:rsid w:val="00073B45"/>
    <w:rsid w:val="00075175"/>
    <w:rsid w:val="000760BE"/>
    <w:rsid w:val="000762AA"/>
    <w:rsid w:val="00076DF8"/>
    <w:rsid w:val="00077113"/>
    <w:rsid w:val="000779EA"/>
    <w:rsid w:val="00080241"/>
    <w:rsid w:val="000803B0"/>
    <w:rsid w:val="00080469"/>
    <w:rsid w:val="000818E0"/>
    <w:rsid w:val="0008231B"/>
    <w:rsid w:val="00082AF5"/>
    <w:rsid w:val="00082C54"/>
    <w:rsid w:val="00082DB3"/>
    <w:rsid w:val="00082E65"/>
    <w:rsid w:val="00082F1B"/>
    <w:rsid w:val="000830BB"/>
    <w:rsid w:val="00083111"/>
    <w:rsid w:val="000836E8"/>
    <w:rsid w:val="00083790"/>
    <w:rsid w:val="00083AA3"/>
    <w:rsid w:val="00083BDB"/>
    <w:rsid w:val="00083D79"/>
    <w:rsid w:val="0008403F"/>
    <w:rsid w:val="00084E3D"/>
    <w:rsid w:val="00086B7A"/>
    <w:rsid w:val="000871DE"/>
    <w:rsid w:val="00087801"/>
    <w:rsid w:val="00090624"/>
    <w:rsid w:val="00090FC3"/>
    <w:rsid w:val="000915EC"/>
    <w:rsid w:val="000917B8"/>
    <w:rsid w:val="000918C8"/>
    <w:rsid w:val="00091C38"/>
    <w:rsid w:val="00091CA5"/>
    <w:rsid w:val="00091E04"/>
    <w:rsid w:val="000922C9"/>
    <w:rsid w:val="00093141"/>
    <w:rsid w:val="00093D78"/>
    <w:rsid w:val="00094277"/>
    <w:rsid w:val="0009438F"/>
    <w:rsid w:val="000949FB"/>
    <w:rsid w:val="00094B45"/>
    <w:rsid w:val="00094F62"/>
    <w:rsid w:val="000950D2"/>
    <w:rsid w:val="000956D7"/>
    <w:rsid w:val="0009574E"/>
    <w:rsid w:val="000962B9"/>
    <w:rsid w:val="00096664"/>
    <w:rsid w:val="0009667C"/>
    <w:rsid w:val="00096C79"/>
    <w:rsid w:val="00097063"/>
    <w:rsid w:val="00097224"/>
    <w:rsid w:val="000A0DDB"/>
    <w:rsid w:val="000A0E03"/>
    <w:rsid w:val="000A0E62"/>
    <w:rsid w:val="000A14C0"/>
    <w:rsid w:val="000A1544"/>
    <w:rsid w:val="000A1914"/>
    <w:rsid w:val="000A1B9D"/>
    <w:rsid w:val="000A2016"/>
    <w:rsid w:val="000A2280"/>
    <w:rsid w:val="000A2782"/>
    <w:rsid w:val="000A27DF"/>
    <w:rsid w:val="000A2D51"/>
    <w:rsid w:val="000A3132"/>
    <w:rsid w:val="000A3776"/>
    <w:rsid w:val="000A3780"/>
    <w:rsid w:val="000A398B"/>
    <w:rsid w:val="000A39D8"/>
    <w:rsid w:val="000A3CA9"/>
    <w:rsid w:val="000A3E58"/>
    <w:rsid w:val="000A44CA"/>
    <w:rsid w:val="000A4510"/>
    <w:rsid w:val="000A45F0"/>
    <w:rsid w:val="000A4F79"/>
    <w:rsid w:val="000A559A"/>
    <w:rsid w:val="000A5BBF"/>
    <w:rsid w:val="000A6304"/>
    <w:rsid w:val="000A65D4"/>
    <w:rsid w:val="000A6726"/>
    <w:rsid w:val="000A7528"/>
    <w:rsid w:val="000A7693"/>
    <w:rsid w:val="000A780C"/>
    <w:rsid w:val="000A7CC8"/>
    <w:rsid w:val="000A7F5C"/>
    <w:rsid w:val="000B19B4"/>
    <w:rsid w:val="000B1CF9"/>
    <w:rsid w:val="000B24AF"/>
    <w:rsid w:val="000B2794"/>
    <w:rsid w:val="000B362C"/>
    <w:rsid w:val="000B3924"/>
    <w:rsid w:val="000B4F29"/>
    <w:rsid w:val="000B4F9B"/>
    <w:rsid w:val="000B6E7A"/>
    <w:rsid w:val="000B6FE7"/>
    <w:rsid w:val="000C0A7B"/>
    <w:rsid w:val="000C0DFF"/>
    <w:rsid w:val="000C1239"/>
    <w:rsid w:val="000C1851"/>
    <w:rsid w:val="000C25C2"/>
    <w:rsid w:val="000C2F4B"/>
    <w:rsid w:val="000C359C"/>
    <w:rsid w:val="000C409C"/>
    <w:rsid w:val="000C496A"/>
    <w:rsid w:val="000C4CE8"/>
    <w:rsid w:val="000C5B29"/>
    <w:rsid w:val="000C62FE"/>
    <w:rsid w:val="000C6586"/>
    <w:rsid w:val="000C6718"/>
    <w:rsid w:val="000C69D8"/>
    <w:rsid w:val="000C6F62"/>
    <w:rsid w:val="000C7099"/>
    <w:rsid w:val="000C7A56"/>
    <w:rsid w:val="000C7EA1"/>
    <w:rsid w:val="000D0961"/>
    <w:rsid w:val="000D0A02"/>
    <w:rsid w:val="000D174F"/>
    <w:rsid w:val="000D1839"/>
    <w:rsid w:val="000D1CCE"/>
    <w:rsid w:val="000D1D95"/>
    <w:rsid w:val="000D24E3"/>
    <w:rsid w:val="000D2606"/>
    <w:rsid w:val="000D356A"/>
    <w:rsid w:val="000D62AF"/>
    <w:rsid w:val="000D670D"/>
    <w:rsid w:val="000D74E5"/>
    <w:rsid w:val="000D796B"/>
    <w:rsid w:val="000D7C7A"/>
    <w:rsid w:val="000E0106"/>
    <w:rsid w:val="000E1A3E"/>
    <w:rsid w:val="000E2592"/>
    <w:rsid w:val="000E2B7C"/>
    <w:rsid w:val="000E367C"/>
    <w:rsid w:val="000E3AEB"/>
    <w:rsid w:val="000E3CF4"/>
    <w:rsid w:val="000E3E86"/>
    <w:rsid w:val="000E3F50"/>
    <w:rsid w:val="000E47CD"/>
    <w:rsid w:val="000E4E19"/>
    <w:rsid w:val="000E4E2E"/>
    <w:rsid w:val="000E4EF6"/>
    <w:rsid w:val="000E51AB"/>
    <w:rsid w:val="000E56A2"/>
    <w:rsid w:val="000E586A"/>
    <w:rsid w:val="000E5895"/>
    <w:rsid w:val="000E58CC"/>
    <w:rsid w:val="000E5E11"/>
    <w:rsid w:val="000E6210"/>
    <w:rsid w:val="000E645D"/>
    <w:rsid w:val="000E716F"/>
    <w:rsid w:val="000E7A01"/>
    <w:rsid w:val="000E7A36"/>
    <w:rsid w:val="000E7BCE"/>
    <w:rsid w:val="000E7F54"/>
    <w:rsid w:val="000F041A"/>
    <w:rsid w:val="000F2420"/>
    <w:rsid w:val="000F26E9"/>
    <w:rsid w:val="000F2B71"/>
    <w:rsid w:val="000F35EA"/>
    <w:rsid w:val="000F3983"/>
    <w:rsid w:val="000F443E"/>
    <w:rsid w:val="000F4590"/>
    <w:rsid w:val="000F4E47"/>
    <w:rsid w:val="000F578B"/>
    <w:rsid w:val="000F5795"/>
    <w:rsid w:val="000F5B86"/>
    <w:rsid w:val="000F5BB6"/>
    <w:rsid w:val="000F6206"/>
    <w:rsid w:val="000F63D5"/>
    <w:rsid w:val="000F7333"/>
    <w:rsid w:val="000F7933"/>
    <w:rsid w:val="000F7E97"/>
    <w:rsid w:val="0010028B"/>
    <w:rsid w:val="001002AE"/>
    <w:rsid w:val="001005B0"/>
    <w:rsid w:val="001006B0"/>
    <w:rsid w:val="0010151B"/>
    <w:rsid w:val="00102BF1"/>
    <w:rsid w:val="00103044"/>
    <w:rsid w:val="00103458"/>
    <w:rsid w:val="0010371A"/>
    <w:rsid w:val="001058B2"/>
    <w:rsid w:val="00106DDD"/>
    <w:rsid w:val="0010747E"/>
    <w:rsid w:val="001077C6"/>
    <w:rsid w:val="00107921"/>
    <w:rsid w:val="00110281"/>
    <w:rsid w:val="0011077A"/>
    <w:rsid w:val="0011123C"/>
    <w:rsid w:val="001123B7"/>
    <w:rsid w:val="00112D19"/>
    <w:rsid w:val="001132E4"/>
    <w:rsid w:val="0011340F"/>
    <w:rsid w:val="001137DD"/>
    <w:rsid w:val="00113CD0"/>
    <w:rsid w:val="00113E14"/>
    <w:rsid w:val="00114495"/>
    <w:rsid w:val="00114B2B"/>
    <w:rsid w:val="00114C27"/>
    <w:rsid w:val="00115B84"/>
    <w:rsid w:val="00116648"/>
    <w:rsid w:val="00116946"/>
    <w:rsid w:val="00116E87"/>
    <w:rsid w:val="0011709D"/>
    <w:rsid w:val="0012040A"/>
    <w:rsid w:val="001204C8"/>
    <w:rsid w:val="001207FD"/>
    <w:rsid w:val="001209BF"/>
    <w:rsid w:val="00120C06"/>
    <w:rsid w:val="0012194C"/>
    <w:rsid w:val="00121C0B"/>
    <w:rsid w:val="0012261A"/>
    <w:rsid w:val="00124160"/>
    <w:rsid w:val="00124FB5"/>
    <w:rsid w:val="0012510D"/>
    <w:rsid w:val="001254CC"/>
    <w:rsid w:val="001255A4"/>
    <w:rsid w:val="00125754"/>
    <w:rsid w:val="001259D7"/>
    <w:rsid w:val="00126554"/>
    <w:rsid w:val="00126C0B"/>
    <w:rsid w:val="001276CB"/>
    <w:rsid w:val="00127DDC"/>
    <w:rsid w:val="0013035D"/>
    <w:rsid w:val="00130FDF"/>
    <w:rsid w:val="0013108B"/>
    <w:rsid w:val="0013203F"/>
    <w:rsid w:val="001335B0"/>
    <w:rsid w:val="00133708"/>
    <w:rsid w:val="001338AC"/>
    <w:rsid w:val="00133C79"/>
    <w:rsid w:val="001343D7"/>
    <w:rsid w:val="001344E3"/>
    <w:rsid w:val="00134FAD"/>
    <w:rsid w:val="00134FB7"/>
    <w:rsid w:val="00136B50"/>
    <w:rsid w:val="001406C7"/>
    <w:rsid w:val="00140EDB"/>
    <w:rsid w:val="00140F23"/>
    <w:rsid w:val="00141C56"/>
    <w:rsid w:val="00141FEE"/>
    <w:rsid w:val="001422C0"/>
    <w:rsid w:val="00142E3B"/>
    <w:rsid w:val="0014332E"/>
    <w:rsid w:val="00143C78"/>
    <w:rsid w:val="00143F35"/>
    <w:rsid w:val="00144A48"/>
    <w:rsid w:val="00144C88"/>
    <w:rsid w:val="00145157"/>
    <w:rsid w:val="00145E11"/>
    <w:rsid w:val="00146038"/>
    <w:rsid w:val="0014632F"/>
    <w:rsid w:val="00147155"/>
    <w:rsid w:val="001518B3"/>
    <w:rsid w:val="00151E7C"/>
    <w:rsid w:val="00152753"/>
    <w:rsid w:val="00152B57"/>
    <w:rsid w:val="00152F66"/>
    <w:rsid w:val="00152F6C"/>
    <w:rsid w:val="00153156"/>
    <w:rsid w:val="00154506"/>
    <w:rsid w:val="00154B42"/>
    <w:rsid w:val="00154E2D"/>
    <w:rsid w:val="0015526E"/>
    <w:rsid w:val="001552D9"/>
    <w:rsid w:val="001560A7"/>
    <w:rsid w:val="00156227"/>
    <w:rsid w:val="0015640B"/>
    <w:rsid w:val="001566FE"/>
    <w:rsid w:val="00156AF4"/>
    <w:rsid w:val="00156DD4"/>
    <w:rsid w:val="0015786D"/>
    <w:rsid w:val="00160292"/>
    <w:rsid w:val="00160EFF"/>
    <w:rsid w:val="0016107C"/>
    <w:rsid w:val="00161288"/>
    <w:rsid w:val="001614D5"/>
    <w:rsid w:val="001618CF"/>
    <w:rsid w:val="00161BB5"/>
    <w:rsid w:val="00161F1E"/>
    <w:rsid w:val="00161FDE"/>
    <w:rsid w:val="0016258F"/>
    <w:rsid w:val="001627C9"/>
    <w:rsid w:val="00163999"/>
    <w:rsid w:val="00163D1C"/>
    <w:rsid w:val="00163EE3"/>
    <w:rsid w:val="00163EF1"/>
    <w:rsid w:val="00164071"/>
    <w:rsid w:val="001646AE"/>
    <w:rsid w:val="001647FE"/>
    <w:rsid w:val="00164CA3"/>
    <w:rsid w:val="0016500D"/>
    <w:rsid w:val="00165FCD"/>
    <w:rsid w:val="00166127"/>
    <w:rsid w:val="00167998"/>
    <w:rsid w:val="00167A7F"/>
    <w:rsid w:val="0017023C"/>
    <w:rsid w:val="00170DAF"/>
    <w:rsid w:val="0017163F"/>
    <w:rsid w:val="00171A60"/>
    <w:rsid w:val="00173C81"/>
    <w:rsid w:val="00174651"/>
    <w:rsid w:val="00174E9F"/>
    <w:rsid w:val="001754C4"/>
    <w:rsid w:val="001758DE"/>
    <w:rsid w:val="00175A66"/>
    <w:rsid w:val="00175B85"/>
    <w:rsid w:val="00176364"/>
    <w:rsid w:val="001768B1"/>
    <w:rsid w:val="001768CC"/>
    <w:rsid w:val="00176A8A"/>
    <w:rsid w:val="00177189"/>
    <w:rsid w:val="00177504"/>
    <w:rsid w:val="0017763E"/>
    <w:rsid w:val="00177BA7"/>
    <w:rsid w:val="00180623"/>
    <w:rsid w:val="00180AA2"/>
    <w:rsid w:val="00180FAB"/>
    <w:rsid w:val="0018161F"/>
    <w:rsid w:val="0018167E"/>
    <w:rsid w:val="00181F74"/>
    <w:rsid w:val="00182000"/>
    <w:rsid w:val="00182174"/>
    <w:rsid w:val="001822D1"/>
    <w:rsid w:val="0018280E"/>
    <w:rsid w:val="00182BB3"/>
    <w:rsid w:val="001844B0"/>
    <w:rsid w:val="00184526"/>
    <w:rsid w:val="00184889"/>
    <w:rsid w:val="00186241"/>
    <w:rsid w:val="001863BB"/>
    <w:rsid w:val="00186832"/>
    <w:rsid w:val="00187140"/>
    <w:rsid w:val="001877AB"/>
    <w:rsid w:val="00187D6D"/>
    <w:rsid w:val="001901C2"/>
    <w:rsid w:val="0019067A"/>
    <w:rsid w:val="001906E2"/>
    <w:rsid w:val="00190E1D"/>
    <w:rsid w:val="00191E05"/>
    <w:rsid w:val="0019223D"/>
    <w:rsid w:val="001922D4"/>
    <w:rsid w:val="001923D8"/>
    <w:rsid w:val="0019277D"/>
    <w:rsid w:val="0019334F"/>
    <w:rsid w:val="00193980"/>
    <w:rsid w:val="00194131"/>
    <w:rsid w:val="001948AC"/>
    <w:rsid w:val="001948DD"/>
    <w:rsid w:val="00195850"/>
    <w:rsid w:val="00196129"/>
    <w:rsid w:val="00196DCD"/>
    <w:rsid w:val="00197316"/>
    <w:rsid w:val="00197E2B"/>
    <w:rsid w:val="00197FA2"/>
    <w:rsid w:val="001A0137"/>
    <w:rsid w:val="001A033A"/>
    <w:rsid w:val="001A04A3"/>
    <w:rsid w:val="001A07BD"/>
    <w:rsid w:val="001A0D78"/>
    <w:rsid w:val="001A10DB"/>
    <w:rsid w:val="001A1A8E"/>
    <w:rsid w:val="001A1B64"/>
    <w:rsid w:val="001A1E11"/>
    <w:rsid w:val="001A21ED"/>
    <w:rsid w:val="001A27BA"/>
    <w:rsid w:val="001A3335"/>
    <w:rsid w:val="001A3CFC"/>
    <w:rsid w:val="001A3DFE"/>
    <w:rsid w:val="001A434A"/>
    <w:rsid w:val="001A46E1"/>
    <w:rsid w:val="001A5692"/>
    <w:rsid w:val="001A5AB6"/>
    <w:rsid w:val="001A5D53"/>
    <w:rsid w:val="001A7D4C"/>
    <w:rsid w:val="001B0B1A"/>
    <w:rsid w:val="001B0C17"/>
    <w:rsid w:val="001B15D4"/>
    <w:rsid w:val="001B1BDA"/>
    <w:rsid w:val="001B1DF9"/>
    <w:rsid w:val="001B200D"/>
    <w:rsid w:val="001B397A"/>
    <w:rsid w:val="001B3B46"/>
    <w:rsid w:val="001B40EA"/>
    <w:rsid w:val="001B5843"/>
    <w:rsid w:val="001B67E3"/>
    <w:rsid w:val="001B6D3D"/>
    <w:rsid w:val="001B6D49"/>
    <w:rsid w:val="001B6D70"/>
    <w:rsid w:val="001B6E1A"/>
    <w:rsid w:val="001B721D"/>
    <w:rsid w:val="001B76E9"/>
    <w:rsid w:val="001B7985"/>
    <w:rsid w:val="001C1717"/>
    <w:rsid w:val="001C2955"/>
    <w:rsid w:val="001C3796"/>
    <w:rsid w:val="001C41A2"/>
    <w:rsid w:val="001C49DA"/>
    <w:rsid w:val="001C5B75"/>
    <w:rsid w:val="001C6A56"/>
    <w:rsid w:val="001C798E"/>
    <w:rsid w:val="001D0AB3"/>
    <w:rsid w:val="001D1675"/>
    <w:rsid w:val="001D245F"/>
    <w:rsid w:val="001D29BB"/>
    <w:rsid w:val="001D2C0A"/>
    <w:rsid w:val="001D2DD5"/>
    <w:rsid w:val="001D32C0"/>
    <w:rsid w:val="001D4238"/>
    <w:rsid w:val="001D4FB8"/>
    <w:rsid w:val="001D5492"/>
    <w:rsid w:val="001D5A11"/>
    <w:rsid w:val="001D60E9"/>
    <w:rsid w:val="001D6656"/>
    <w:rsid w:val="001D68BB"/>
    <w:rsid w:val="001E007C"/>
    <w:rsid w:val="001E0167"/>
    <w:rsid w:val="001E13D5"/>
    <w:rsid w:val="001E16BC"/>
    <w:rsid w:val="001E3511"/>
    <w:rsid w:val="001E4304"/>
    <w:rsid w:val="001E4537"/>
    <w:rsid w:val="001E53B1"/>
    <w:rsid w:val="001E53CF"/>
    <w:rsid w:val="001E5768"/>
    <w:rsid w:val="001E65E4"/>
    <w:rsid w:val="001E6CE0"/>
    <w:rsid w:val="001E71E4"/>
    <w:rsid w:val="001E72C1"/>
    <w:rsid w:val="001E74D9"/>
    <w:rsid w:val="001E7C69"/>
    <w:rsid w:val="001F0F89"/>
    <w:rsid w:val="001F1253"/>
    <w:rsid w:val="001F1A4B"/>
    <w:rsid w:val="001F2183"/>
    <w:rsid w:val="001F21AD"/>
    <w:rsid w:val="001F3047"/>
    <w:rsid w:val="001F3314"/>
    <w:rsid w:val="001F3C2B"/>
    <w:rsid w:val="001F4ECC"/>
    <w:rsid w:val="001F536F"/>
    <w:rsid w:val="001F61EC"/>
    <w:rsid w:val="001F7174"/>
    <w:rsid w:val="001F72BA"/>
    <w:rsid w:val="001F77CD"/>
    <w:rsid w:val="001F7C6B"/>
    <w:rsid w:val="002000C9"/>
    <w:rsid w:val="0020019C"/>
    <w:rsid w:val="0020069A"/>
    <w:rsid w:val="00200CBE"/>
    <w:rsid w:val="00200DF2"/>
    <w:rsid w:val="00201C11"/>
    <w:rsid w:val="00201EA0"/>
    <w:rsid w:val="00202085"/>
    <w:rsid w:val="00202617"/>
    <w:rsid w:val="0020330B"/>
    <w:rsid w:val="00203324"/>
    <w:rsid w:val="0020337A"/>
    <w:rsid w:val="002036B9"/>
    <w:rsid w:val="00204C20"/>
    <w:rsid w:val="00205035"/>
    <w:rsid w:val="002051AB"/>
    <w:rsid w:val="00206390"/>
    <w:rsid w:val="00206E87"/>
    <w:rsid w:val="002070EE"/>
    <w:rsid w:val="002075FF"/>
    <w:rsid w:val="002105B2"/>
    <w:rsid w:val="0021167A"/>
    <w:rsid w:val="00211892"/>
    <w:rsid w:val="00211A29"/>
    <w:rsid w:val="00212B19"/>
    <w:rsid w:val="00212E8A"/>
    <w:rsid w:val="0021324C"/>
    <w:rsid w:val="00213567"/>
    <w:rsid w:val="002136BB"/>
    <w:rsid w:val="00213794"/>
    <w:rsid w:val="00213A73"/>
    <w:rsid w:val="0021451A"/>
    <w:rsid w:val="00214FA3"/>
    <w:rsid w:val="00215942"/>
    <w:rsid w:val="00215952"/>
    <w:rsid w:val="00216DA2"/>
    <w:rsid w:val="002171EA"/>
    <w:rsid w:val="00217934"/>
    <w:rsid w:val="00217F41"/>
    <w:rsid w:val="00217F5D"/>
    <w:rsid w:val="0022037A"/>
    <w:rsid w:val="00220CD7"/>
    <w:rsid w:val="00220FCD"/>
    <w:rsid w:val="00221127"/>
    <w:rsid w:val="00221C67"/>
    <w:rsid w:val="00221F1B"/>
    <w:rsid w:val="00221FC5"/>
    <w:rsid w:val="002220EF"/>
    <w:rsid w:val="002226A3"/>
    <w:rsid w:val="00224E24"/>
    <w:rsid w:val="002253ED"/>
    <w:rsid w:val="002254CD"/>
    <w:rsid w:val="00225CF4"/>
    <w:rsid w:val="00225FAC"/>
    <w:rsid w:val="00226254"/>
    <w:rsid w:val="002263A5"/>
    <w:rsid w:val="002264D9"/>
    <w:rsid w:val="00226A35"/>
    <w:rsid w:val="00230114"/>
    <w:rsid w:val="00230F17"/>
    <w:rsid w:val="0023130E"/>
    <w:rsid w:val="0023171C"/>
    <w:rsid w:val="00232043"/>
    <w:rsid w:val="00232909"/>
    <w:rsid w:val="00232BC9"/>
    <w:rsid w:val="002331C5"/>
    <w:rsid w:val="00233BB9"/>
    <w:rsid w:val="00234182"/>
    <w:rsid w:val="0023423A"/>
    <w:rsid w:val="00234827"/>
    <w:rsid w:val="00234BDE"/>
    <w:rsid w:val="00234BE0"/>
    <w:rsid w:val="00234C50"/>
    <w:rsid w:val="00234CEC"/>
    <w:rsid w:val="00235B27"/>
    <w:rsid w:val="0023646E"/>
    <w:rsid w:val="0023677B"/>
    <w:rsid w:val="002367FE"/>
    <w:rsid w:val="002378A2"/>
    <w:rsid w:val="00237D8D"/>
    <w:rsid w:val="00237FFC"/>
    <w:rsid w:val="0024013C"/>
    <w:rsid w:val="002404A2"/>
    <w:rsid w:val="0024070E"/>
    <w:rsid w:val="00240DAC"/>
    <w:rsid w:val="00241317"/>
    <w:rsid w:val="002417D9"/>
    <w:rsid w:val="00241D52"/>
    <w:rsid w:val="0024282B"/>
    <w:rsid w:val="00242A05"/>
    <w:rsid w:val="00242A08"/>
    <w:rsid w:val="00243140"/>
    <w:rsid w:val="00244B36"/>
    <w:rsid w:val="00244EB5"/>
    <w:rsid w:val="002456EE"/>
    <w:rsid w:val="002467F0"/>
    <w:rsid w:val="002468E9"/>
    <w:rsid w:val="00246C47"/>
    <w:rsid w:val="00246E29"/>
    <w:rsid w:val="002475A3"/>
    <w:rsid w:val="0024764A"/>
    <w:rsid w:val="00247D1D"/>
    <w:rsid w:val="00250635"/>
    <w:rsid w:val="002506F9"/>
    <w:rsid w:val="00250766"/>
    <w:rsid w:val="00250BA1"/>
    <w:rsid w:val="00250C95"/>
    <w:rsid w:val="00251565"/>
    <w:rsid w:val="00252298"/>
    <w:rsid w:val="002532BD"/>
    <w:rsid w:val="002536DB"/>
    <w:rsid w:val="002541FD"/>
    <w:rsid w:val="002542CE"/>
    <w:rsid w:val="00254781"/>
    <w:rsid w:val="002548C0"/>
    <w:rsid w:val="00254D6F"/>
    <w:rsid w:val="00255495"/>
    <w:rsid w:val="00255A75"/>
    <w:rsid w:val="00255C63"/>
    <w:rsid w:val="00255FED"/>
    <w:rsid w:val="00256222"/>
    <w:rsid w:val="00256CCA"/>
    <w:rsid w:val="00256F0D"/>
    <w:rsid w:val="00257DE0"/>
    <w:rsid w:val="00257E14"/>
    <w:rsid w:val="00257E9F"/>
    <w:rsid w:val="0026055F"/>
    <w:rsid w:val="002613B4"/>
    <w:rsid w:val="00261705"/>
    <w:rsid w:val="00262398"/>
    <w:rsid w:val="0026352A"/>
    <w:rsid w:val="00263765"/>
    <w:rsid w:val="00263FDE"/>
    <w:rsid w:val="0026461B"/>
    <w:rsid w:val="00264794"/>
    <w:rsid w:val="002647C0"/>
    <w:rsid w:val="0026638F"/>
    <w:rsid w:val="00266987"/>
    <w:rsid w:val="00266C07"/>
    <w:rsid w:val="00266FB2"/>
    <w:rsid w:val="00267143"/>
    <w:rsid w:val="00267B58"/>
    <w:rsid w:val="00270120"/>
    <w:rsid w:val="002703C9"/>
    <w:rsid w:val="00270E38"/>
    <w:rsid w:val="00271137"/>
    <w:rsid w:val="002716F1"/>
    <w:rsid w:val="00271BA2"/>
    <w:rsid w:val="00272668"/>
    <w:rsid w:val="00272B85"/>
    <w:rsid w:val="00272CF7"/>
    <w:rsid w:val="002732C2"/>
    <w:rsid w:val="00274DB3"/>
    <w:rsid w:val="00274E75"/>
    <w:rsid w:val="0027579A"/>
    <w:rsid w:val="00275A79"/>
    <w:rsid w:val="00275D0C"/>
    <w:rsid w:val="00276549"/>
    <w:rsid w:val="00276C11"/>
    <w:rsid w:val="002803D3"/>
    <w:rsid w:val="0028050E"/>
    <w:rsid w:val="002806FB"/>
    <w:rsid w:val="00280BD4"/>
    <w:rsid w:val="00280CD4"/>
    <w:rsid w:val="00280E69"/>
    <w:rsid w:val="002817DA"/>
    <w:rsid w:val="00281A9A"/>
    <w:rsid w:val="00282380"/>
    <w:rsid w:val="00282600"/>
    <w:rsid w:val="002834CF"/>
    <w:rsid w:val="002836D5"/>
    <w:rsid w:val="00283A03"/>
    <w:rsid w:val="00283F30"/>
    <w:rsid w:val="00283FAA"/>
    <w:rsid w:val="002842BB"/>
    <w:rsid w:val="002844B2"/>
    <w:rsid w:val="00285E08"/>
    <w:rsid w:val="00286024"/>
    <w:rsid w:val="0028615F"/>
    <w:rsid w:val="0028679C"/>
    <w:rsid w:val="00287162"/>
    <w:rsid w:val="00287548"/>
    <w:rsid w:val="00287C11"/>
    <w:rsid w:val="00290450"/>
    <w:rsid w:val="00292D1E"/>
    <w:rsid w:val="00293BC0"/>
    <w:rsid w:val="00293F9E"/>
    <w:rsid w:val="002941E2"/>
    <w:rsid w:val="002944F8"/>
    <w:rsid w:val="002949C5"/>
    <w:rsid w:val="00294CD1"/>
    <w:rsid w:val="00294D49"/>
    <w:rsid w:val="00295535"/>
    <w:rsid w:val="00296017"/>
    <w:rsid w:val="00296056"/>
    <w:rsid w:val="00296A5B"/>
    <w:rsid w:val="00296BA7"/>
    <w:rsid w:val="00297A14"/>
    <w:rsid w:val="00297C15"/>
    <w:rsid w:val="002A0280"/>
    <w:rsid w:val="002A0472"/>
    <w:rsid w:val="002A090A"/>
    <w:rsid w:val="002A0A9D"/>
    <w:rsid w:val="002A0B92"/>
    <w:rsid w:val="002A0C83"/>
    <w:rsid w:val="002A0EDE"/>
    <w:rsid w:val="002A0FB1"/>
    <w:rsid w:val="002A20A6"/>
    <w:rsid w:val="002A2202"/>
    <w:rsid w:val="002A2726"/>
    <w:rsid w:val="002A29E8"/>
    <w:rsid w:val="002A2B17"/>
    <w:rsid w:val="002A2BB4"/>
    <w:rsid w:val="002A36BD"/>
    <w:rsid w:val="002A3F19"/>
    <w:rsid w:val="002A3F4E"/>
    <w:rsid w:val="002A5B26"/>
    <w:rsid w:val="002A5CE9"/>
    <w:rsid w:val="002A5E29"/>
    <w:rsid w:val="002A63C1"/>
    <w:rsid w:val="002A6AA7"/>
    <w:rsid w:val="002A6AD5"/>
    <w:rsid w:val="002A6B3F"/>
    <w:rsid w:val="002A6B65"/>
    <w:rsid w:val="002A6E9A"/>
    <w:rsid w:val="002A7158"/>
    <w:rsid w:val="002B0779"/>
    <w:rsid w:val="002B08BE"/>
    <w:rsid w:val="002B0ACA"/>
    <w:rsid w:val="002B0B37"/>
    <w:rsid w:val="002B0C4E"/>
    <w:rsid w:val="002B0ED2"/>
    <w:rsid w:val="002B159D"/>
    <w:rsid w:val="002B2C99"/>
    <w:rsid w:val="002B3278"/>
    <w:rsid w:val="002B3C47"/>
    <w:rsid w:val="002B47FE"/>
    <w:rsid w:val="002B4AC6"/>
    <w:rsid w:val="002B5A53"/>
    <w:rsid w:val="002B60F9"/>
    <w:rsid w:val="002B6E67"/>
    <w:rsid w:val="002B716B"/>
    <w:rsid w:val="002B7920"/>
    <w:rsid w:val="002B7A6D"/>
    <w:rsid w:val="002C030C"/>
    <w:rsid w:val="002C131E"/>
    <w:rsid w:val="002C1688"/>
    <w:rsid w:val="002C1C74"/>
    <w:rsid w:val="002C2182"/>
    <w:rsid w:val="002C2368"/>
    <w:rsid w:val="002C26C7"/>
    <w:rsid w:val="002C29EE"/>
    <w:rsid w:val="002C2DF9"/>
    <w:rsid w:val="002C41F7"/>
    <w:rsid w:val="002C4832"/>
    <w:rsid w:val="002C4B47"/>
    <w:rsid w:val="002C5832"/>
    <w:rsid w:val="002C64A9"/>
    <w:rsid w:val="002C6791"/>
    <w:rsid w:val="002C737C"/>
    <w:rsid w:val="002D1347"/>
    <w:rsid w:val="002D13E6"/>
    <w:rsid w:val="002D28F0"/>
    <w:rsid w:val="002D3112"/>
    <w:rsid w:val="002D34EC"/>
    <w:rsid w:val="002D389A"/>
    <w:rsid w:val="002D5A2B"/>
    <w:rsid w:val="002D5CA4"/>
    <w:rsid w:val="002D6026"/>
    <w:rsid w:val="002D63F2"/>
    <w:rsid w:val="002D6749"/>
    <w:rsid w:val="002D6AC1"/>
    <w:rsid w:val="002D7AE7"/>
    <w:rsid w:val="002E0320"/>
    <w:rsid w:val="002E03A1"/>
    <w:rsid w:val="002E061B"/>
    <w:rsid w:val="002E074C"/>
    <w:rsid w:val="002E0AD0"/>
    <w:rsid w:val="002E147A"/>
    <w:rsid w:val="002E17D7"/>
    <w:rsid w:val="002E1953"/>
    <w:rsid w:val="002E1B5D"/>
    <w:rsid w:val="002E20BE"/>
    <w:rsid w:val="002E2555"/>
    <w:rsid w:val="002E255C"/>
    <w:rsid w:val="002E25A1"/>
    <w:rsid w:val="002E2F7D"/>
    <w:rsid w:val="002E33D9"/>
    <w:rsid w:val="002E3D37"/>
    <w:rsid w:val="002E3E98"/>
    <w:rsid w:val="002E4402"/>
    <w:rsid w:val="002E46F3"/>
    <w:rsid w:val="002E4994"/>
    <w:rsid w:val="002E565F"/>
    <w:rsid w:val="002E5D43"/>
    <w:rsid w:val="002E61D4"/>
    <w:rsid w:val="002E6525"/>
    <w:rsid w:val="002E7354"/>
    <w:rsid w:val="002E7740"/>
    <w:rsid w:val="002E779D"/>
    <w:rsid w:val="002E7879"/>
    <w:rsid w:val="002E793A"/>
    <w:rsid w:val="002E7D0C"/>
    <w:rsid w:val="002F02EF"/>
    <w:rsid w:val="002F0AD1"/>
    <w:rsid w:val="002F0FAC"/>
    <w:rsid w:val="002F12D9"/>
    <w:rsid w:val="002F1340"/>
    <w:rsid w:val="002F18B7"/>
    <w:rsid w:val="002F1FE4"/>
    <w:rsid w:val="002F2614"/>
    <w:rsid w:val="002F2C4A"/>
    <w:rsid w:val="002F2C79"/>
    <w:rsid w:val="002F3443"/>
    <w:rsid w:val="002F38FF"/>
    <w:rsid w:val="002F3BE8"/>
    <w:rsid w:val="002F3F37"/>
    <w:rsid w:val="002F5AD8"/>
    <w:rsid w:val="002F5F48"/>
    <w:rsid w:val="002F71C9"/>
    <w:rsid w:val="002F7322"/>
    <w:rsid w:val="0030020A"/>
    <w:rsid w:val="0030041E"/>
    <w:rsid w:val="003004C6"/>
    <w:rsid w:val="0030184D"/>
    <w:rsid w:val="00301C99"/>
    <w:rsid w:val="00302287"/>
    <w:rsid w:val="00302820"/>
    <w:rsid w:val="00302A94"/>
    <w:rsid w:val="0030313A"/>
    <w:rsid w:val="00303A1C"/>
    <w:rsid w:val="00303DE5"/>
    <w:rsid w:val="00303F59"/>
    <w:rsid w:val="0030424D"/>
    <w:rsid w:val="003042B5"/>
    <w:rsid w:val="0030470F"/>
    <w:rsid w:val="003051B7"/>
    <w:rsid w:val="00305B7D"/>
    <w:rsid w:val="00305D51"/>
    <w:rsid w:val="003065F9"/>
    <w:rsid w:val="00307193"/>
    <w:rsid w:val="003078ED"/>
    <w:rsid w:val="00310675"/>
    <w:rsid w:val="003108A4"/>
    <w:rsid w:val="00310CD4"/>
    <w:rsid w:val="00310D62"/>
    <w:rsid w:val="00311CBF"/>
    <w:rsid w:val="003134C1"/>
    <w:rsid w:val="00313BAE"/>
    <w:rsid w:val="00313CF7"/>
    <w:rsid w:val="003146FF"/>
    <w:rsid w:val="00314907"/>
    <w:rsid w:val="0031527D"/>
    <w:rsid w:val="00315EEF"/>
    <w:rsid w:val="00316017"/>
    <w:rsid w:val="003161FF"/>
    <w:rsid w:val="00316403"/>
    <w:rsid w:val="0031693B"/>
    <w:rsid w:val="00316FDD"/>
    <w:rsid w:val="00317386"/>
    <w:rsid w:val="003174B8"/>
    <w:rsid w:val="003178BA"/>
    <w:rsid w:val="0031798F"/>
    <w:rsid w:val="00317F10"/>
    <w:rsid w:val="00317F14"/>
    <w:rsid w:val="00320458"/>
    <w:rsid w:val="003209D2"/>
    <w:rsid w:val="00321A13"/>
    <w:rsid w:val="003225C9"/>
    <w:rsid w:val="0032358F"/>
    <w:rsid w:val="00323A51"/>
    <w:rsid w:val="00323B44"/>
    <w:rsid w:val="00324280"/>
    <w:rsid w:val="00324298"/>
    <w:rsid w:val="003242EA"/>
    <w:rsid w:val="0032442E"/>
    <w:rsid w:val="003255AD"/>
    <w:rsid w:val="00325694"/>
    <w:rsid w:val="003260A2"/>
    <w:rsid w:val="00326442"/>
    <w:rsid w:val="003265FD"/>
    <w:rsid w:val="00326FC3"/>
    <w:rsid w:val="003272F8"/>
    <w:rsid w:val="003276B3"/>
    <w:rsid w:val="003279AD"/>
    <w:rsid w:val="00327E71"/>
    <w:rsid w:val="00330095"/>
    <w:rsid w:val="003318F0"/>
    <w:rsid w:val="00331EB1"/>
    <w:rsid w:val="00331FB6"/>
    <w:rsid w:val="00332080"/>
    <w:rsid w:val="0033257E"/>
    <w:rsid w:val="003329F0"/>
    <w:rsid w:val="00332C77"/>
    <w:rsid w:val="00332FE7"/>
    <w:rsid w:val="00333149"/>
    <w:rsid w:val="0033393D"/>
    <w:rsid w:val="00333975"/>
    <w:rsid w:val="00333B28"/>
    <w:rsid w:val="003346DC"/>
    <w:rsid w:val="00334938"/>
    <w:rsid w:val="00335673"/>
    <w:rsid w:val="003359C1"/>
    <w:rsid w:val="00335C8C"/>
    <w:rsid w:val="00335DCE"/>
    <w:rsid w:val="00335FD0"/>
    <w:rsid w:val="0033617C"/>
    <w:rsid w:val="00337AE6"/>
    <w:rsid w:val="00337B6F"/>
    <w:rsid w:val="00337E4E"/>
    <w:rsid w:val="0034037D"/>
    <w:rsid w:val="003403B8"/>
    <w:rsid w:val="00340955"/>
    <w:rsid w:val="00341291"/>
    <w:rsid w:val="00341A07"/>
    <w:rsid w:val="003420B4"/>
    <w:rsid w:val="003425C0"/>
    <w:rsid w:val="00342C29"/>
    <w:rsid w:val="003437F1"/>
    <w:rsid w:val="003447F3"/>
    <w:rsid w:val="00344959"/>
    <w:rsid w:val="00344BF6"/>
    <w:rsid w:val="0034539B"/>
    <w:rsid w:val="00345501"/>
    <w:rsid w:val="00346359"/>
    <w:rsid w:val="0034676F"/>
    <w:rsid w:val="003503D0"/>
    <w:rsid w:val="003503E7"/>
    <w:rsid w:val="003505FF"/>
    <w:rsid w:val="003508B6"/>
    <w:rsid w:val="00351BC7"/>
    <w:rsid w:val="00351E07"/>
    <w:rsid w:val="00352120"/>
    <w:rsid w:val="003529CB"/>
    <w:rsid w:val="00352DC6"/>
    <w:rsid w:val="003532E6"/>
    <w:rsid w:val="00353412"/>
    <w:rsid w:val="003534B4"/>
    <w:rsid w:val="003538B0"/>
    <w:rsid w:val="00353E5B"/>
    <w:rsid w:val="003544FC"/>
    <w:rsid w:val="003545F5"/>
    <w:rsid w:val="00354683"/>
    <w:rsid w:val="003548EA"/>
    <w:rsid w:val="00354C84"/>
    <w:rsid w:val="003551A0"/>
    <w:rsid w:val="003556BD"/>
    <w:rsid w:val="00355B0D"/>
    <w:rsid w:val="00355DFA"/>
    <w:rsid w:val="00355EBB"/>
    <w:rsid w:val="003560C4"/>
    <w:rsid w:val="0035634E"/>
    <w:rsid w:val="00356D94"/>
    <w:rsid w:val="00356F5B"/>
    <w:rsid w:val="00357785"/>
    <w:rsid w:val="00357A0B"/>
    <w:rsid w:val="00360D8E"/>
    <w:rsid w:val="00360DB5"/>
    <w:rsid w:val="00361AB0"/>
    <w:rsid w:val="00362DF7"/>
    <w:rsid w:val="00363A30"/>
    <w:rsid w:val="003643D7"/>
    <w:rsid w:val="00364DFD"/>
    <w:rsid w:val="00365194"/>
    <w:rsid w:val="0036522D"/>
    <w:rsid w:val="0036548D"/>
    <w:rsid w:val="003658CE"/>
    <w:rsid w:val="003665C6"/>
    <w:rsid w:val="00367738"/>
    <w:rsid w:val="00367792"/>
    <w:rsid w:val="003709B5"/>
    <w:rsid w:val="00371027"/>
    <w:rsid w:val="0037117F"/>
    <w:rsid w:val="003717B8"/>
    <w:rsid w:val="00372067"/>
    <w:rsid w:val="003721D2"/>
    <w:rsid w:val="00372269"/>
    <w:rsid w:val="00372401"/>
    <w:rsid w:val="00372432"/>
    <w:rsid w:val="00372552"/>
    <w:rsid w:val="00372631"/>
    <w:rsid w:val="003727FD"/>
    <w:rsid w:val="00374531"/>
    <w:rsid w:val="00374C71"/>
    <w:rsid w:val="00374F2D"/>
    <w:rsid w:val="00375211"/>
    <w:rsid w:val="0037597A"/>
    <w:rsid w:val="0037603A"/>
    <w:rsid w:val="00376179"/>
    <w:rsid w:val="00376446"/>
    <w:rsid w:val="00376610"/>
    <w:rsid w:val="0037697C"/>
    <w:rsid w:val="00376D9B"/>
    <w:rsid w:val="003779A0"/>
    <w:rsid w:val="00377CF8"/>
    <w:rsid w:val="003810B2"/>
    <w:rsid w:val="0038111B"/>
    <w:rsid w:val="00382AB7"/>
    <w:rsid w:val="00382F0F"/>
    <w:rsid w:val="003830D0"/>
    <w:rsid w:val="003831FD"/>
    <w:rsid w:val="00384574"/>
    <w:rsid w:val="00384DC3"/>
    <w:rsid w:val="003854C8"/>
    <w:rsid w:val="00385787"/>
    <w:rsid w:val="003857DC"/>
    <w:rsid w:val="00386014"/>
    <w:rsid w:val="003874BA"/>
    <w:rsid w:val="00387C01"/>
    <w:rsid w:val="00390482"/>
    <w:rsid w:val="00390B03"/>
    <w:rsid w:val="00390BB8"/>
    <w:rsid w:val="00391124"/>
    <w:rsid w:val="003913B6"/>
    <w:rsid w:val="003915D5"/>
    <w:rsid w:val="00391FA7"/>
    <w:rsid w:val="003922F4"/>
    <w:rsid w:val="003929CA"/>
    <w:rsid w:val="00392D75"/>
    <w:rsid w:val="00393A87"/>
    <w:rsid w:val="00394A21"/>
    <w:rsid w:val="0039523C"/>
    <w:rsid w:val="00395399"/>
    <w:rsid w:val="00396068"/>
    <w:rsid w:val="003967AB"/>
    <w:rsid w:val="00396932"/>
    <w:rsid w:val="003976FD"/>
    <w:rsid w:val="003A04B4"/>
    <w:rsid w:val="003A09CD"/>
    <w:rsid w:val="003A0BF5"/>
    <w:rsid w:val="003A1B18"/>
    <w:rsid w:val="003A225B"/>
    <w:rsid w:val="003A2F6B"/>
    <w:rsid w:val="003A323C"/>
    <w:rsid w:val="003A3282"/>
    <w:rsid w:val="003A3747"/>
    <w:rsid w:val="003A3C04"/>
    <w:rsid w:val="003A42B7"/>
    <w:rsid w:val="003A5B93"/>
    <w:rsid w:val="003A5BE2"/>
    <w:rsid w:val="003A61AB"/>
    <w:rsid w:val="003A6BB9"/>
    <w:rsid w:val="003A7850"/>
    <w:rsid w:val="003B004B"/>
    <w:rsid w:val="003B0162"/>
    <w:rsid w:val="003B02DD"/>
    <w:rsid w:val="003B06FC"/>
    <w:rsid w:val="003B0A92"/>
    <w:rsid w:val="003B0ABE"/>
    <w:rsid w:val="003B1012"/>
    <w:rsid w:val="003B16DE"/>
    <w:rsid w:val="003B17F6"/>
    <w:rsid w:val="003B18C7"/>
    <w:rsid w:val="003B18FC"/>
    <w:rsid w:val="003B1994"/>
    <w:rsid w:val="003B1B56"/>
    <w:rsid w:val="003B1C39"/>
    <w:rsid w:val="003B2402"/>
    <w:rsid w:val="003B2519"/>
    <w:rsid w:val="003B254A"/>
    <w:rsid w:val="003B3093"/>
    <w:rsid w:val="003B41FD"/>
    <w:rsid w:val="003B4DF4"/>
    <w:rsid w:val="003B7292"/>
    <w:rsid w:val="003B72A2"/>
    <w:rsid w:val="003C026C"/>
    <w:rsid w:val="003C06D6"/>
    <w:rsid w:val="003C120A"/>
    <w:rsid w:val="003C1545"/>
    <w:rsid w:val="003C194B"/>
    <w:rsid w:val="003C252E"/>
    <w:rsid w:val="003C283F"/>
    <w:rsid w:val="003C2951"/>
    <w:rsid w:val="003C394F"/>
    <w:rsid w:val="003C3B8C"/>
    <w:rsid w:val="003C4017"/>
    <w:rsid w:val="003C415B"/>
    <w:rsid w:val="003C4E59"/>
    <w:rsid w:val="003C4F83"/>
    <w:rsid w:val="003C662B"/>
    <w:rsid w:val="003C66FE"/>
    <w:rsid w:val="003C6865"/>
    <w:rsid w:val="003C751D"/>
    <w:rsid w:val="003D0231"/>
    <w:rsid w:val="003D037C"/>
    <w:rsid w:val="003D098B"/>
    <w:rsid w:val="003D0AC9"/>
    <w:rsid w:val="003D0D1E"/>
    <w:rsid w:val="003D10D8"/>
    <w:rsid w:val="003D180B"/>
    <w:rsid w:val="003D1BE4"/>
    <w:rsid w:val="003D1F24"/>
    <w:rsid w:val="003D2168"/>
    <w:rsid w:val="003D2C05"/>
    <w:rsid w:val="003D377A"/>
    <w:rsid w:val="003D3C34"/>
    <w:rsid w:val="003D439A"/>
    <w:rsid w:val="003D46F9"/>
    <w:rsid w:val="003D47D5"/>
    <w:rsid w:val="003D5005"/>
    <w:rsid w:val="003D717F"/>
    <w:rsid w:val="003D7C3A"/>
    <w:rsid w:val="003D7D88"/>
    <w:rsid w:val="003E013A"/>
    <w:rsid w:val="003E0506"/>
    <w:rsid w:val="003E19F1"/>
    <w:rsid w:val="003E24E6"/>
    <w:rsid w:val="003E269A"/>
    <w:rsid w:val="003E2EFE"/>
    <w:rsid w:val="003E39E5"/>
    <w:rsid w:val="003E3CA2"/>
    <w:rsid w:val="003E3ECD"/>
    <w:rsid w:val="003E4577"/>
    <w:rsid w:val="003E49D9"/>
    <w:rsid w:val="003E5195"/>
    <w:rsid w:val="003E5311"/>
    <w:rsid w:val="003E5FCE"/>
    <w:rsid w:val="003E60DA"/>
    <w:rsid w:val="003E65F0"/>
    <w:rsid w:val="003E6ED8"/>
    <w:rsid w:val="003E7550"/>
    <w:rsid w:val="003E7659"/>
    <w:rsid w:val="003F0350"/>
    <w:rsid w:val="003F0765"/>
    <w:rsid w:val="003F0EBD"/>
    <w:rsid w:val="003F12B6"/>
    <w:rsid w:val="003F1F57"/>
    <w:rsid w:val="003F2436"/>
    <w:rsid w:val="003F36DB"/>
    <w:rsid w:val="003F3770"/>
    <w:rsid w:val="003F4A3C"/>
    <w:rsid w:val="003F4A65"/>
    <w:rsid w:val="003F4C4B"/>
    <w:rsid w:val="003F5FB0"/>
    <w:rsid w:val="003F67FD"/>
    <w:rsid w:val="003F69F9"/>
    <w:rsid w:val="003F6E9B"/>
    <w:rsid w:val="003F7269"/>
    <w:rsid w:val="0040009B"/>
    <w:rsid w:val="00400137"/>
    <w:rsid w:val="00400148"/>
    <w:rsid w:val="00400AB5"/>
    <w:rsid w:val="00400D9E"/>
    <w:rsid w:val="00401292"/>
    <w:rsid w:val="004015E9"/>
    <w:rsid w:val="004017F8"/>
    <w:rsid w:val="0040191E"/>
    <w:rsid w:val="00401F2C"/>
    <w:rsid w:val="00402A9B"/>
    <w:rsid w:val="00402FDD"/>
    <w:rsid w:val="004032A4"/>
    <w:rsid w:val="00403736"/>
    <w:rsid w:val="00404C60"/>
    <w:rsid w:val="00404F9A"/>
    <w:rsid w:val="004054F4"/>
    <w:rsid w:val="00405575"/>
    <w:rsid w:val="004056C2"/>
    <w:rsid w:val="004057C0"/>
    <w:rsid w:val="004058E2"/>
    <w:rsid w:val="00405E4B"/>
    <w:rsid w:val="004061E9"/>
    <w:rsid w:val="00406533"/>
    <w:rsid w:val="00407C3E"/>
    <w:rsid w:val="00407F1B"/>
    <w:rsid w:val="00407FE7"/>
    <w:rsid w:val="00410691"/>
    <w:rsid w:val="004107CE"/>
    <w:rsid w:val="00410874"/>
    <w:rsid w:val="00411208"/>
    <w:rsid w:val="00412719"/>
    <w:rsid w:val="00412B75"/>
    <w:rsid w:val="004130E6"/>
    <w:rsid w:val="0041324D"/>
    <w:rsid w:val="0041338E"/>
    <w:rsid w:val="0041433B"/>
    <w:rsid w:val="00414843"/>
    <w:rsid w:val="00414A79"/>
    <w:rsid w:val="00415784"/>
    <w:rsid w:val="00415878"/>
    <w:rsid w:val="004159E0"/>
    <w:rsid w:val="00415B41"/>
    <w:rsid w:val="004162ED"/>
    <w:rsid w:val="00416E91"/>
    <w:rsid w:val="00417354"/>
    <w:rsid w:val="0041795E"/>
    <w:rsid w:val="00417F2F"/>
    <w:rsid w:val="0042073B"/>
    <w:rsid w:val="004208B9"/>
    <w:rsid w:val="00420DF1"/>
    <w:rsid w:val="004214BE"/>
    <w:rsid w:val="00421BCE"/>
    <w:rsid w:val="004225D3"/>
    <w:rsid w:val="004228F5"/>
    <w:rsid w:val="00422CA7"/>
    <w:rsid w:val="00422DE9"/>
    <w:rsid w:val="00422ED4"/>
    <w:rsid w:val="00424362"/>
    <w:rsid w:val="00424925"/>
    <w:rsid w:val="00424BB9"/>
    <w:rsid w:val="00424D65"/>
    <w:rsid w:val="004250AA"/>
    <w:rsid w:val="00425301"/>
    <w:rsid w:val="0042560E"/>
    <w:rsid w:val="00425998"/>
    <w:rsid w:val="00427986"/>
    <w:rsid w:val="0043001F"/>
    <w:rsid w:val="00430158"/>
    <w:rsid w:val="00430397"/>
    <w:rsid w:val="004306DC"/>
    <w:rsid w:val="00430A2C"/>
    <w:rsid w:val="00430AC5"/>
    <w:rsid w:val="00430B2F"/>
    <w:rsid w:val="004317C5"/>
    <w:rsid w:val="004317D5"/>
    <w:rsid w:val="004318E9"/>
    <w:rsid w:val="00431D9F"/>
    <w:rsid w:val="00431F9E"/>
    <w:rsid w:val="00432345"/>
    <w:rsid w:val="00432D14"/>
    <w:rsid w:val="00433104"/>
    <w:rsid w:val="004340F2"/>
    <w:rsid w:val="00434228"/>
    <w:rsid w:val="004345D4"/>
    <w:rsid w:val="004355A7"/>
    <w:rsid w:val="0043620B"/>
    <w:rsid w:val="00437072"/>
    <w:rsid w:val="00437336"/>
    <w:rsid w:val="00437928"/>
    <w:rsid w:val="00437E57"/>
    <w:rsid w:val="00437E8C"/>
    <w:rsid w:val="00440C94"/>
    <w:rsid w:val="00440D48"/>
    <w:rsid w:val="004413F8"/>
    <w:rsid w:val="0044161D"/>
    <w:rsid w:val="00441882"/>
    <w:rsid w:val="00442142"/>
    <w:rsid w:val="0044268C"/>
    <w:rsid w:val="0044274F"/>
    <w:rsid w:val="0044314D"/>
    <w:rsid w:val="004434ED"/>
    <w:rsid w:val="00443B85"/>
    <w:rsid w:val="004442B9"/>
    <w:rsid w:val="0044464C"/>
    <w:rsid w:val="004446B7"/>
    <w:rsid w:val="004450A1"/>
    <w:rsid w:val="004458AA"/>
    <w:rsid w:val="004467D1"/>
    <w:rsid w:val="00446B3E"/>
    <w:rsid w:val="00446CF5"/>
    <w:rsid w:val="004474A4"/>
    <w:rsid w:val="00447A1E"/>
    <w:rsid w:val="0045069C"/>
    <w:rsid w:val="00450983"/>
    <w:rsid w:val="004509FA"/>
    <w:rsid w:val="00450E83"/>
    <w:rsid w:val="004512BD"/>
    <w:rsid w:val="004512D0"/>
    <w:rsid w:val="0045185F"/>
    <w:rsid w:val="00451CDA"/>
    <w:rsid w:val="00451E74"/>
    <w:rsid w:val="004520C6"/>
    <w:rsid w:val="004522F7"/>
    <w:rsid w:val="00452EB6"/>
    <w:rsid w:val="0045410F"/>
    <w:rsid w:val="0045436A"/>
    <w:rsid w:val="00454E74"/>
    <w:rsid w:val="00454F54"/>
    <w:rsid w:val="00455F70"/>
    <w:rsid w:val="0045607F"/>
    <w:rsid w:val="004564AB"/>
    <w:rsid w:val="004568C8"/>
    <w:rsid w:val="0045707E"/>
    <w:rsid w:val="004576E5"/>
    <w:rsid w:val="0045797D"/>
    <w:rsid w:val="0045798E"/>
    <w:rsid w:val="00457A19"/>
    <w:rsid w:val="00457DF0"/>
    <w:rsid w:val="00457F3C"/>
    <w:rsid w:val="00460861"/>
    <w:rsid w:val="00460D04"/>
    <w:rsid w:val="00460D79"/>
    <w:rsid w:val="00460D97"/>
    <w:rsid w:val="004618BE"/>
    <w:rsid w:val="00461B5D"/>
    <w:rsid w:val="00462552"/>
    <w:rsid w:val="00462DB5"/>
    <w:rsid w:val="00462E70"/>
    <w:rsid w:val="00462FEB"/>
    <w:rsid w:val="0046324D"/>
    <w:rsid w:val="00463B1A"/>
    <w:rsid w:val="00463CEB"/>
    <w:rsid w:val="00463ECC"/>
    <w:rsid w:val="0046422A"/>
    <w:rsid w:val="00464C44"/>
    <w:rsid w:val="004653FC"/>
    <w:rsid w:val="004654E5"/>
    <w:rsid w:val="004655E2"/>
    <w:rsid w:val="004660A3"/>
    <w:rsid w:val="00466173"/>
    <w:rsid w:val="00466538"/>
    <w:rsid w:val="00466BEE"/>
    <w:rsid w:val="00467161"/>
    <w:rsid w:val="0046769A"/>
    <w:rsid w:val="00470697"/>
    <w:rsid w:val="004707F2"/>
    <w:rsid w:val="00471296"/>
    <w:rsid w:val="0047143D"/>
    <w:rsid w:val="00471469"/>
    <w:rsid w:val="004718B7"/>
    <w:rsid w:val="004719BF"/>
    <w:rsid w:val="00471B8E"/>
    <w:rsid w:val="00471F41"/>
    <w:rsid w:val="004728D5"/>
    <w:rsid w:val="00472E39"/>
    <w:rsid w:val="00472EC3"/>
    <w:rsid w:val="0047352E"/>
    <w:rsid w:val="0047381E"/>
    <w:rsid w:val="00473D52"/>
    <w:rsid w:val="004744E3"/>
    <w:rsid w:val="00474858"/>
    <w:rsid w:val="0047512F"/>
    <w:rsid w:val="004753B0"/>
    <w:rsid w:val="00475601"/>
    <w:rsid w:val="00475C74"/>
    <w:rsid w:val="00475CA8"/>
    <w:rsid w:val="0047658C"/>
    <w:rsid w:val="0047694B"/>
    <w:rsid w:val="004769B5"/>
    <w:rsid w:val="00477436"/>
    <w:rsid w:val="004778F2"/>
    <w:rsid w:val="004779B9"/>
    <w:rsid w:val="00480124"/>
    <w:rsid w:val="004807C5"/>
    <w:rsid w:val="00480D1C"/>
    <w:rsid w:val="00481082"/>
    <w:rsid w:val="0048140B"/>
    <w:rsid w:val="0048146E"/>
    <w:rsid w:val="00481913"/>
    <w:rsid w:val="004819E5"/>
    <w:rsid w:val="00481B23"/>
    <w:rsid w:val="00481C6C"/>
    <w:rsid w:val="004837D2"/>
    <w:rsid w:val="004838EA"/>
    <w:rsid w:val="00483932"/>
    <w:rsid w:val="00483C5E"/>
    <w:rsid w:val="0048437E"/>
    <w:rsid w:val="0048591D"/>
    <w:rsid w:val="00485BE6"/>
    <w:rsid w:val="00485DBE"/>
    <w:rsid w:val="00485E56"/>
    <w:rsid w:val="0048697A"/>
    <w:rsid w:val="00486B4F"/>
    <w:rsid w:val="00486E77"/>
    <w:rsid w:val="00487DF1"/>
    <w:rsid w:val="00490361"/>
    <w:rsid w:val="004904A4"/>
    <w:rsid w:val="004906D9"/>
    <w:rsid w:val="00490CCC"/>
    <w:rsid w:val="00491028"/>
    <w:rsid w:val="00491535"/>
    <w:rsid w:val="00491914"/>
    <w:rsid w:val="00491B05"/>
    <w:rsid w:val="00491D94"/>
    <w:rsid w:val="00491E88"/>
    <w:rsid w:val="004923B4"/>
    <w:rsid w:val="004925DF"/>
    <w:rsid w:val="004928BC"/>
    <w:rsid w:val="00492F5B"/>
    <w:rsid w:val="00493160"/>
    <w:rsid w:val="00493625"/>
    <w:rsid w:val="0049395D"/>
    <w:rsid w:val="00493EAF"/>
    <w:rsid w:val="0049415B"/>
    <w:rsid w:val="00494619"/>
    <w:rsid w:val="00494BC1"/>
    <w:rsid w:val="0049531B"/>
    <w:rsid w:val="00495F48"/>
    <w:rsid w:val="004964B7"/>
    <w:rsid w:val="00496690"/>
    <w:rsid w:val="00496AE8"/>
    <w:rsid w:val="00496AF7"/>
    <w:rsid w:val="004A0AC1"/>
    <w:rsid w:val="004A0B78"/>
    <w:rsid w:val="004A0C31"/>
    <w:rsid w:val="004A18C2"/>
    <w:rsid w:val="004A1B70"/>
    <w:rsid w:val="004A1E17"/>
    <w:rsid w:val="004A1F17"/>
    <w:rsid w:val="004A238B"/>
    <w:rsid w:val="004A23F3"/>
    <w:rsid w:val="004A2BA4"/>
    <w:rsid w:val="004A2CF3"/>
    <w:rsid w:val="004A2D79"/>
    <w:rsid w:val="004A2F2F"/>
    <w:rsid w:val="004A2FCA"/>
    <w:rsid w:val="004A2FDA"/>
    <w:rsid w:val="004A3197"/>
    <w:rsid w:val="004A3735"/>
    <w:rsid w:val="004A3F9A"/>
    <w:rsid w:val="004A487E"/>
    <w:rsid w:val="004A4C76"/>
    <w:rsid w:val="004A5028"/>
    <w:rsid w:val="004A51EC"/>
    <w:rsid w:val="004A56B9"/>
    <w:rsid w:val="004A6CA1"/>
    <w:rsid w:val="004A6EA0"/>
    <w:rsid w:val="004A6F36"/>
    <w:rsid w:val="004A7086"/>
    <w:rsid w:val="004A7D03"/>
    <w:rsid w:val="004B014D"/>
    <w:rsid w:val="004B0256"/>
    <w:rsid w:val="004B096E"/>
    <w:rsid w:val="004B1913"/>
    <w:rsid w:val="004B20B3"/>
    <w:rsid w:val="004B23F3"/>
    <w:rsid w:val="004B25D0"/>
    <w:rsid w:val="004B2D1A"/>
    <w:rsid w:val="004B3C76"/>
    <w:rsid w:val="004B401F"/>
    <w:rsid w:val="004B4847"/>
    <w:rsid w:val="004B4AE3"/>
    <w:rsid w:val="004B4C8C"/>
    <w:rsid w:val="004B6148"/>
    <w:rsid w:val="004B6517"/>
    <w:rsid w:val="004B6A7A"/>
    <w:rsid w:val="004B7ECC"/>
    <w:rsid w:val="004C04E4"/>
    <w:rsid w:val="004C0964"/>
    <w:rsid w:val="004C0DA7"/>
    <w:rsid w:val="004C12B6"/>
    <w:rsid w:val="004C2AFB"/>
    <w:rsid w:val="004C2D82"/>
    <w:rsid w:val="004C2E56"/>
    <w:rsid w:val="004C32A9"/>
    <w:rsid w:val="004C48BE"/>
    <w:rsid w:val="004C49F3"/>
    <w:rsid w:val="004C4A09"/>
    <w:rsid w:val="004C53B4"/>
    <w:rsid w:val="004C5884"/>
    <w:rsid w:val="004C5A0F"/>
    <w:rsid w:val="004C5BF0"/>
    <w:rsid w:val="004C627E"/>
    <w:rsid w:val="004C73AB"/>
    <w:rsid w:val="004C750F"/>
    <w:rsid w:val="004D0677"/>
    <w:rsid w:val="004D0793"/>
    <w:rsid w:val="004D0FF1"/>
    <w:rsid w:val="004D115C"/>
    <w:rsid w:val="004D1B68"/>
    <w:rsid w:val="004D1D14"/>
    <w:rsid w:val="004D2640"/>
    <w:rsid w:val="004D3259"/>
    <w:rsid w:val="004D3265"/>
    <w:rsid w:val="004D32CD"/>
    <w:rsid w:val="004D3594"/>
    <w:rsid w:val="004D3853"/>
    <w:rsid w:val="004D5574"/>
    <w:rsid w:val="004D5875"/>
    <w:rsid w:val="004D5B39"/>
    <w:rsid w:val="004D5F8E"/>
    <w:rsid w:val="004D6685"/>
    <w:rsid w:val="004D66B8"/>
    <w:rsid w:val="004D676A"/>
    <w:rsid w:val="004D67A4"/>
    <w:rsid w:val="004D6DDB"/>
    <w:rsid w:val="004D74AA"/>
    <w:rsid w:val="004D7902"/>
    <w:rsid w:val="004D7A83"/>
    <w:rsid w:val="004D7FC6"/>
    <w:rsid w:val="004E13CF"/>
    <w:rsid w:val="004E17FC"/>
    <w:rsid w:val="004E1C4D"/>
    <w:rsid w:val="004E1F34"/>
    <w:rsid w:val="004E2E34"/>
    <w:rsid w:val="004E2FD3"/>
    <w:rsid w:val="004E3069"/>
    <w:rsid w:val="004E3A29"/>
    <w:rsid w:val="004E4C16"/>
    <w:rsid w:val="004E614C"/>
    <w:rsid w:val="004E6DC0"/>
    <w:rsid w:val="004E75DC"/>
    <w:rsid w:val="004E79A1"/>
    <w:rsid w:val="004F161D"/>
    <w:rsid w:val="004F1857"/>
    <w:rsid w:val="004F1A96"/>
    <w:rsid w:val="004F1EAE"/>
    <w:rsid w:val="004F216A"/>
    <w:rsid w:val="004F3715"/>
    <w:rsid w:val="004F3BC9"/>
    <w:rsid w:val="004F4119"/>
    <w:rsid w:val="004F4B10"/>
    <w:rsid w:val="004F4BFC"/>
    <w:rsid w:val="004F4C15"/>
    <w:rsid w:val="004F52C0"/>
    <w:rsid w:val="004F58AD"/>
    <w:rsid w:val="004F6206"/>
    <w:rsid w:val="004F63EC"/>
    <w:rsid w:val="004F7475"/>
    <w:rsid w:val="004F74FC"/>
    <w:rsid w:val="004F770D"/>
    <w:rsid w:val="004F7BD5"/>
    <w:rsid w:val="005004CD"/>
    <w:rsid w:val="00500BC5"/>
    <w:rsid w:val="00500D8E"/>
    <w:rsid w:val="00501150"/>
    <w:rsid w:val="00501385"/>
    <w:rsid w:val="00502598"/>
    <w:rsid w:val="0050277F"/>
    <w:rsid w:val="005029BA"/>
    <w:rsid w:val="00502F5E"/>
    <w:rsid w:val="00503771"/>
    <w:rsid w:val="00503D17"/>
    <w:rsid w:val="0050427E"/>
    <w:rsid w:val="005044CA"/>
    <w:rsid w:val="005044D1"/>
    <w:rsid w:val="00504581"/>
    <w:rsid w:val="00504D8A"/>
    <w:rsid w:val="00504EA9"/>
    <w:rsid w:val="00505360"/>
    <w:rsid w:val="005058ED"/>
    <w:rsid w:val="00505FD3"/>
    <w:rsid w:val="00506515"/>
    <w:rsid w:val="0050702C"/>
    <w:rsid w:val="005071F0"/>
    <w:rsid w:val="0050732D"/>
    <w:rsid w:val="00510249"/>
    <w:rsid w:val="0051130F"/>
    <w:rsid w:val="005115F6"/>
    <w:rsid w:val="00512069"/>
    <w:rsid w:val="005124A2"/>
    <w:rsid w:val="00512D68"/>
    <w:rsid w:val="00512DEC"/>
    <w:rsid w:val="005139F4"/>
    <w:rsid w:val="00513E78"/>
    <w:rsid w:val="0051402F"/>
    <w:rsid w:val="0051511E"/>
    <w:rsid w:val="00515D34"/>
    <w:rsid w:val="00515E4E"/>
    <w:rsid w:val="005162B6"/>
    <w:rsid w:val="00516654"/>
    <w:rsid w:val="00517358"/>
    <w:rsid w:val="005175F5"/>
    <w:rsid w:val="00517EBA"/>
    <w:rsid w:val="005206DA"/>
    <w:rsid w:val="00520C84"/>
    <w:rsid w:val="00520DF5"/>
    <w:rsid w:val="0052121D"/>
    <w:rsid w:val="005216B4"/>
    <w:rsid w:val="00521704"/>
    <w:rsid w:val="005223AC"/>
    <w:rsid w:val="005227C9"/>
    <w:rsid w:val="005235D2"/>
    <w:rsid w:val="00524156"/>
    <w:rsid w:val="00524495"/>
    <w:rsid w:val="005250D7"/>
    <w:rsid w:val="005251A9"/>
    <w:rsid w:val="0052540F"/>
    <w:rsid w:val="00525AA2"/>
    <w:rsid w:val="00525F9E"/>
    <w:rsid w:val="00526805"/>
    <w:rsid w:val="00526F99"/>
    <w:rsid w:val="00526FCE"/>
    <w:rsid w:val="005276E6"/>
    <w:rsid w:val="0052786B"/>
    <w:rsid w:val="00527DBA"/>
    <w:rsid w:val="0053060F"/>
    <w:rsid w:val="00531169"/>
    <w:rsid w:val="0053239E"/>
    <w:rsid w:val="0053249D"/>
    <w:rsid w:val="00533322"/>
    <w:rsid w:val="00533457"/>
    <w:rsid w:val="0053367B"/>
    <w:rsid w:val="00533CBD"/>
    <w:rsid w:val="0053429F"/>
    <w:rsid w:val="0053433E"/>
    <w:rsid w:val="005346D9"/>
    <w:rsid w:val="00534895"/>
    <w:rsid w:val="00534B32"/>
    <w:rsid w:val="00534D6B"/>
    <w:rsid w:val="00535160"/>
    <w:rsid w:val="005357CF"/>
    <w:rsid w:val="00535B41"/>
    <w:rsid w:val="00535D77"/>
    <w:rsid w:val="0053686B"/>
    <w:rsid w:val="005370DC"/>
    <w:rsid w:val="0053759C"/>
    <w:rsid w:val="005375C0"/>
    <w:rsid w:val="005409E0"/>
    <w:rsid w:val="00541376"/>
    <w:rsid w:val="00541426"/>
    <w:rsid w:val="00541520"/>
    <w:rsid w:val="0054193D"/>
    <w:rsid w:val="00541AC2"/>
    <w:rsid w:val="00541C66"/>
    <w:rsid w:val="00541CDA"/>
    <w:rsid w:val="00541FC8"/>
    <w:rsid w:val="0054233D"/>
    <w:rsid w:val="00542B75"/>
    <w:rsid w:val="005439B1"/>
    <w:rsid w:val="00543A09"/>
    <w:rsid w:val="00543A6B"/>
    <w:rsid w:val="00543C23"/>
    <w:rsid w:val="00543FEE"/>
    <w:rsid w:val="0054424C"/>
    <w:rsid w:val="00544612"/>
    <w:rsid w:val="00544C88"/>
    <w:rsid w:val="005453C7"/>
    <w:rsid w:val="005456C9"/>
    <w:rsid w:val="0054676F"/>
    <w:rsid w:val="005467FA"/>
    <w:rsid w:val="00546817"/>
    <w:rsid w:val="00546CA2"/>
    <w:rsid w:val="00546E77"/>
    <w:rsid w:val="00546EE5"/>
    <w:rsid w:val="00546FB0"/>
    <w:rsid w:val="0054721E"/>
    <w:rsid w:val="005472E3"/>
    <w:rsid w:val="00547362"/>
    <w:rsid w:val="005477F0"/>
    <w:rsid w:val="0055019D"/>
    <w:rsid w:val="0055037D"/>
    <w:rsid w:val="00550CA2"/>
    <w:rsid w:val="00550E5C"/>
    <w:rsid w:val="00551202"/>
    <w:rsid w:val="00551EEC"/>
    <w:rsid w:val="005528B6"/>
    <w:rsid w:val="00552B11"/>
    <w:rsid w:val="00553017"/>
    <w:rsid w:val="005530A4"/>
    <w:rsid w:val="005532C4"/>
    <w:rsid w:val="00553698"/>
    <w:rsid w:val="005537E9"/>
    <w:rsid w:val="005538B3"/>
    <w:rsid w:val="005550C6"/>
    <w:rsid w:val="005550C9"/>
    <w:rsid w:val="00556BE1"/>
    <w:rsid w:val="0055793C"/>
    <w:rsid w:val="005600FA"/>
    <w:rsid w:val="00561346"/>
    <w:rsid w:val="0056161A"/>
    <w:rsid w:val="00561858"/>
    <w:rsid w:val="005622FD"/>
    <w:rsid w:val="00562651"/>
    <w:rsid w:val="00562768"/>
    <w:rsid w:val="00562B3E"/>
    <w:rsid w:val="005637F6"/>
    <w:rsid w:val="00565990"/>
    <w:rsid w:val="00565AFF"/>
    <w:rsid w:val="00565E35"/>
    <w:rsid w:val="00566339"/>
    <w:rsid w:val="00567B99"/>
    <w:rsid w:val="005708E3"/>
    <w:rsid w:val="00570A75"/>
    <w:rsid w:val="00570E3B"/>
    <w:rsid w:val="00570EF9"/>
    <w:rsid w:val="00570FEA"/>
    <w:rsid w:val="005711AC"/>
    <w:rsid w:val="0057172F"/>
    <w:rsid w:val="0057191C"/>
    <w:rsid w:val="00572F0C"/>
    <w:rsid w:val="0057329E"/>
    <w:rsid w:val="0057352E"/>
    <w:rsid w:val="00574A51"/>
    <w:rsid w:val="00574F49"/>
    <w:rsid w:val="005751BA"/>
    <w:rsid w:val="005751CD"/>
    <w:rsid w:val="00575440"/>
    <w:rsid w:val="00575703"/>
    <w:rsid w:val="00575FA3"/>
    <w:rsid w:val="00576DC6"/>
    <w:rsid w:val="00580209"/>
    <w:rsid w:val="00580407"/>
    <w:rsid w:val="00580901"/>
    <w:rsid w:val="00580D8C"/>
    <w:rsid w:val="005810AE"/>
    <w:rsid w:val="005815B7"/>
    <w:rsid w:val="005815F3"/>
    <w:rsid w:val="00581E47"/>
    <w:rsid w:val="0058268D"/>
    <w:rsid w:val="00582BFD"/>
    <w:rsid w:val="005838F9"/>
    <w:rsid w:val="00583E0A"/>
    <w:rsid w:val="00583F7C"/>
    <w:rsid w:val="005842A5"/>
    <w:rsid w:val="0058466D"/>
    <w:rsid w:val="00584AE1"/>
    <w:rsid w:val="00584F56"/>
    <w:rsid w:val="00585690"/>
    <w:rsid w:val="00585C4B"/>
    <w:rsid w:val="005868DD"/>
    <w:rsid w:val="00586BDE"/>
    <w:rsid w:val="00586E1A"/>
    <w:rsid w:val="00587287"/>
    <w:rsid w:val="00590052"/>
    <w:rsid w:val="00590191"/>
    <w:rsid w:val="005903BD"/>
    <w:rsid w:val="00590637"/>
    <w:rsid w:val="00591915"/>
    <w:rsid w:val="00591DAD"/>
    <w:rsid w:val="00592A8D"/>
    <w:rsid w:val="00592DBA"/>
    <w:rsid w:val="00593281"/>
    <w:rsid w:val="005933C0"/>
    <w:rsid w:val="0059390B"/>
    <w:rsid w:val="00593EB3"/>
    <w:rsid w:val="005940B5"/>
    <w:rsid w:val="00594467"/>
    <w:rsid w:val="005947AB"/>
    <w:rsid w:val="00594E69"/>
    <w:rsid w:val="00594E98"/>
    <w:rsid w:val="0059653D"/>
    <w:rsid w:val="005968F0"/>
    <w:rsid w:val="00596A07"/>
    <w:rsid w:val="00596CCD"/>
    <w:rsid w:val="00596D62"/>
    <w:rsid w:val="00597576"/>
    <w:rsid w:val="00597CA7"/>
    <w:rsid w:val="005A017C"/>
    <w:rsid w:val="005A12F3"/>
    <w:rsid w:val="005A15AF"/>
    <w:rsid w:val="005A17E8"/>
    <w:rsid w:val="005A1A10"/>
    <w:rsid w:val="005A1F7D"/>
    <w:rsid w:val="005A27A8"/>
    <w:rsid w:val="005A3219"/>
    <w:rsid w:val="005A3D4C"/>
    <w:rsid w:val="005A4CA7"/>
    <w:rsid w:val="005A50CC"/>
    <w:rsid w:val="005A58BC"/>
    <w:rsid w:val="005A5DB4"/>
    <w:rsid w:val="005A6D0E"/>
    <w:rsid w:val="005A7178"/>
    <w:rsid w:val="005A7217"/>
    <w:rsid w:val="005A7325"/>
    <w:rsid w:val="005B00A2"/>
    <w:rsid w:val="005B07EE"/>
    <w:rsid w:val="005B11F3"/>
    <w:rsid w:val="005B17B5"/>
    <w:rsid w:val="005B2342"/>
    <w:rsid w:val="005B24E2"/>
    <w:rsid w:val="005B26F1"/>
    <w:rsid w:val="005B2931"/>
    <w:rsid w:val="005B2CFD"/>
    <w:rsid w:val="005B2EE5"/>
    <w:rsid w:val="005B3791"/>
    <w:rsid w:val="005B3DD6"/>
    <w:rsid w:val="005B40A6"/>
    <w:rsid w:val="005B4647"/>
    <w:rsid w:val="005B4817"/>
    <w:rsid w:val="005B4A1B"/>
    <w:rsid w:val="005B4F45"/>
    <w:rsid w:val="005B4FCE"/>
    <w:rsid w:val="005B5617"/>
    <w:rsid w:val="005B5758"/>
    <w:rsid w:val="005B6277"/>
    <w:rsid w:val="005B71F7"/>
    <w:rsid w:val="005B78B4"/>
    <w:rsid w:val="005B7F38"/>
    <w:rsid w:val="005C03D8"/>
    <w:rsid w:val="005C09EE"/>
    <w:rsid w:val="005C0CED"/>
    <w:rsid w:val="005C1B0F"/>
    <w:rsid w:val="005C1DAF"/>
    <w:rsid w:val="005C1FD3"/>
    <w:rsid w:val="005C21BB"/>
    <w:rsid w:val="005C234F"/>
    <w:rsid w:val="005C2FAF"/>
    <w:rsid w:val="005C3651"/>
    <w:rsid w:val="005C3A42"/>
    <w:rsid w:val="005C499D"/>
    <w:rsid w:val="005C50D6"/>
    <w:rsid w:val="005C5858"/>
    <w:rsid w:val="005C6272"/>
    <w:rsid w:val="005C70BE"/>
    <w:rsid w:val="005C776C"/>
    <w:rsid w:val="005C7913"/>
    <w:rsid w:val="005C7BBD"/>
    <w:rsid w:val="005D00D0"/>
    <w:rsid w:val="005D06EA"/>
    <w:rsid w:val="005D084B"/>
    <w:rsid w:val="005D0883"/>
    <w:rsid w:val="005D0B67"/>
    <w:rsid w:val="005D1089"/>
    <w:rsid w:val="005D1570"/>
    <w:rsid w:val="005D1841"/>
    <w:rsid w:val="005D20F6"/>
    <w:rsid w:val="005D2A95"/>
    <w:rsid w:val="005D2AEA"/>
    <w:rsid w:val="005D3236"/>
    <w:rsid w:val="005D3A66"/>
    <w:rsid w:val="005D4253"/>
    <w:rsid w:val="005D47CF"/>
    <w:rsid w:val="005D5689"/>
    <w:rsid w:val="005D5747"/>
    <w:rsid w:val="005D5B99"/>
    <w:rsid w:val="005D62D2"/>
    <w:rsid w:val="005D65F9"/>
    <w:rsid w:val="005D73E0"/>
    <w:rsid w:val="005D7C78"/>
    <w:rsid w:val="005E06E7"/>
    <w:rsid w:val="005E0BC1"/>
    <w:rsid w:val="005E13BB"/>
    <w:rsid w:val="005E1D00"/>
    <w:rsid w:val="005E1F31"/>
    <w:rsid w:val="005E1FD0"/>
    <w:rsid w:val="005E2E30"/>
    <w:rsid w:val="005E3DF3"/>
    <w:rsid w:val="005E3E7B"/>
    <w:rsid w:val="005E483C"/>
    <w:rsid w:val="005E4919"/>
    <w:rsid w:val="005E4A4B"/>
    <w:rsid w:val="005E5236"/>
    <w:rsid w:val="005E5C72"/>
    <w:rsid w:val="005E6259"/>
    <w:rsid w:val="005E656E"/>
    <w:rsid w:val="005E65A5"/>
    <w:rsid w:val="005E68C3"/>
    <w:rsid w:val="005E6A14"/>
    <w:rsid w:val="005E6CD6"/>
    <w:rsid w:val="005E6D6F"/>
    <w:rsid w:val="005E7035"/>
    <w:rsid w:val="005F080C"/>
    <w:rsid w:val="005F19D4"/>
    <w:rsid w:val="005F217A"/>
    <w:rsid w:val="005F2617"/>
    <w:rsid w:val="005F298B"/>
    <w:rsid w:val="005F32A2"/>
    <w:rsid w:val="005F4570"/>
    <w:rsid w:val="005F549D"/>
    <w:rsid w:val="005F6340"/>
    <w:rsid w:val="005F6398"/>
    <w:rsid w:val="005F6456"/>
    <w:rsid w:val="005F6D88"/>
    <w:rsid w:val="005F6E14"/>
    <w:rsid w:val="005F7541"/>
    <w:rsid w:val="005F76FE"/>
    <w:rsid w:val="005F7B45"/>
    <w:rsid w:val="00600A7A"/>
    <w:rsid w:val="00600DD9"/>
    <w:rsid w:val="00602102"/>
    <w:rsid w:val="0060219C"/>
    <w:rsid w:val="00602507"/>
    <w:rsid w:val="00602718"/>
    <w:rsid w:val="00602B42"/>
    <w:rsid w:val="00602C88"/>
    <w:rsid w:val="006030A6"/>
    <w:rsid w:val="00603782"/>
    <w:rsid w:val="00603B9E"/>
    <w:rsid w:val="00603C89"/>
    <w:rsid w:val="00604108"/>
    <w:rsid w:val="00604370"/>
    <w:rsid w:val="00604D73"/>
    <w:rsid w:val="00604F17"/>
    <w:rsid w:val="0060554E"/>
    <w:rsid w:val="00605614"/>
    <w:rsid w:val="006056AC"/>
    <w:rsid w:val="006058EC"/>
    <w:rsid w:val="00605AAC"/>
    <w:rsid w:val="00605DA3"/>
    <w:rsid w:val="00606373"/>
    <w:rsid w:val="00606730"/>
    <w:rsid w:val="00607063"/>
    <w:rsid w:val="00607CFE"/>
    <w:rsid w:val="00607E1F"/>
    <w:rsid w:val="0061074C"/>
    <w:rsid w:val="00611188"/>
    <w:rsid w:val="006124AF"/>
    <w:rsid w:val="006126C2"/>
    <w:rsid w:val="00613121"/>
    <w:rsid w:val="006132B0"/>
    <w:rsid w:val="0061356F"/>
    <w:rsid w:val="00613795"/>
    <w:rsid w:val="00613BEE"/>
    <w:rsid w:val="0061498E"/>
    <w:rsid w:val="00614CB9"/>
    <w:rsid w:val="006151CE"/>
    <w:rsid w:val="0061595C"/>
    <w:rsid w:val="00615C0D"/>
    <w:rsid w:val="00616253"/>
    <w:rsid w:val="00616439"/>
    <w:rsid w:val="006164ED"/>
    <w:rsid w:val="00616559"/>
    <w:rsid w:val="006167F8"/>
    <w:rsid w:val="006168D6"/>
    <w:rsid w:val="00617914"/>
    <w:rsid w:val="00617C21"/>
    <w:rsid w:val="006215F0"/>
    <w:rsid w:val="00621619"/>
    <w:rsid w:val="00621A0D"/>
    <w:rsid w:val="00621E02"/>
    <w:rsid w:val="006220F0"/>
    <w:rsid w:val="006225B2"/>
    <w:rsid w:val="00622BBE"/>
    <w:rsid w:val="00622E48"/>
    <w:rsid w:val="006231C5"/>
    <w:rsid w:val="00623203"/>
    <w:rsid w:val="00623852"/>
    <w:rsid w:val="006238FB"/>
    <w:rsid w:val="00623C0B"/>
    <w:rsid w:val="00624CD7"/>
    <w:rsid w:val="00624EBA"/>
    <w:rsid w:val="00625069"/>
    <w:rsid w:val="0062512A"/>
    <w:rsid w:val="00625486"/>
    <w:rsid w:val="006259D1"/>
    <w:rsid w:val="00625DFE"/>
    <w:rsid w:val="0062643C"/>
    <w:rsid w:val="00626579"/>
    <w:rsid w:val="00626848"/>
    <w:rsid w:val="006269D3"/>
    <w:rsid w:val="00626A17"/>
    <w:rsid w:val="006275E5"/>
    <w:rsid w:val="006278A5"/>
    <w:rsid w:val="00627D0C"/>
    <w:rsid w:val="00627D42"/>
    <w:rsid w:val="00630C0E"/>
    <w:rsid w:val="00630FC0"/>
    <w:rsid w:val="00631491"/>
    <w:rsid w:val="006315E2"/>
    <w:rsid w:val="00631AE1"/>
    <w:rsid w:val="0063229A"/>
    <w:rsid w:val="00632704"/>
    <w:rsid w:val="00633274"/>
    <w:rsid w:val="00633AAC"/>
    <w:rsid w:val="00634736"/>
    <w:rsid w:val="00634A13"/>
    <w:rsid w:val="00634A54"/>
    <w:rsid w:val="006350E1"/>
    <w:rsid w:val="006360F4"/>
    <w:rsid w:val="0063640F"/>
    <w:rsid w:val="00636739"/>
    <w:rsid w:val="00636DAF"/>
    <w:rsid w:val="0063700B"/>
    <w:rsid w:val="006371C3"/>
    <w:rsid w:val="00637477"/>
    <w:rsid w:val="00637949"/>
    <w:rsid w:val="006400DE"/>
    <w:rsid w:val="006407DA"/>
    <w:rsid w:val="00640864"/>
    <w:rsid w:val="006409B4"/>
    <w:rsid w:val="00641036"/>
    <w:rsid w:val="00642E2B"/>
    <w:rsid w:val="00642EA2"/>
    <w:rsid w:val="00642EA5"/>
    <w:rsid w:val="00643069"/>
    <w:rsid w:val="006431BA"/>
    <w:rsid w:val="006431EC"/>
    <w:rsid w:val="00643618"/>
    <w:rsid w:val="00643E16"/>
    <w:rsid w:val="00644098"/>
    <w:rsid w:val="00644A2E"/>
    <w:rsid w:val="00644A6A"/>
    <w:rsid w:val="00644B11"/>
    <w:rsid w:val="00645071"/>
    <w:rsid w:val="006450DD"/>
    <w:rsid w:val="006451B3"/>
    <w:rsid w:val="006455DB"/>
    <w:rsid w:val="00645D43"/>
    <w:rsid w:val="00646024"/>
    <w:rsid w:val="006465E9"/>
    <w:rsid w:val="00646AEC"/>
    <w:rsid w:val="00646BFB"/>
    <w:rsid w:val="0064733B"/>
    <w:rsid w:val="00647502"/>
    <w:rsid w:val="006475D5"/>
    <w:rsid w:val="00647977"/>
    <w:rsid w:val="006500EE"/>
    <w:rsid w:val="006508C2"/>
    <w:rsid w:val="00651201"/>
    <w:rsid w:val="0065159C"/>
    <w:rsid w:val="00651793"/>
    <w:rsid w:val="00651B06"/>
    <w:rsid w:val="006520AE"/>
    <w:rsid w:val="00653238"/>
    <w:rsid w:val="0065381E"/>
    <w:rsid w:val="006556E2"/>
    <w:rsid w:val="00656140"/>
    <w:rsid w:val="0065614C"/>
    <w:rsid w:val="006565FB"/>
    <w:rsid w:val="006569D2"/>
    <w:rsid w:val="00656CE7"/>
    <w:rsid w:val="00656F76"/>
    <w:rsid w:val="00657095"/>
    <w:rsid w:val="00657B7C"/>
    <w:rsid w:val="00660133"/>
    <w:rsid w:val="0066036F"/>
    <w:rsid w:val="006613BB"/>
    <w:rsid w:val="0066147D"/>
    <w:rsid w:val="0066165B"/>
    <w:rsid w:val="006616B5"/>
    <w:rsid w:val="00661F9D"/>
    <w:rsid w:val="0066302D"/>
    <w:rsid w:val="00663954"/>
    <w:rsid w:val="006641B5"/>
    <w:rsid w:val="00664DC0"/>
    <w:rsid w:val="0066572C"/>
    <w:rsid w:val="00665C1E"/>
    <w:rsid w:val="00665D9A"/>
    <w:rsid w:val="006665FF"/>
    <w:rsid w:val="00666674"/>
    <w:rsid w:val="006667F0"/>
    <w:rsid w:val="0066689D"/>
    <w:rsid w:val="00666A96"/>
    <w:rsid w:val="0066724C"/>
    <w:rsid w:val="00667F2C"/>
    <w:rsid w:val="0067030B"/>
    <w:rsid w:val="00670836"/>
    <w:rsid w:val="00671052"/>
    <w:rsid w:val="00671855"/>
    <w:rsid w:val="00671A2D"/>
    <w:rsid w:val="006724FA"/>
    <w:rsid w:val="00673609"/>
    <w:rsid w:val="0067387F"/>
    <w:rsid w:val="00673A65"/>
    <w:rsid w:val="00673DC1"/>
    <w:rsid w:val="00673F23"/>
    <w:rsid w:val="006748D8"/>
    <w:rsid w:val="00674D1F"/>
    <w:rsid w:val="00675094"/>
    <w:rsid w:val="00675EF8"/>
    <w:rsid w:val="00675F39"/>
    <w:rsid w:val="006770CB"/>
    <w:rsid w:val="006773EC"/>
    <w:rsid w:val="00677530"/>
    <w:rsid w:val="00677638"/>
    <w:rsid w:val="006777D6"/>
    <w:rsid w:val="006801F9"/>
    <w:rsid w:val="00680B8D"/>
    <w:rsid w:val="00681922"/>
    <w:rsid w:val="00682897"/>
    <w:rsid w:val="00683098"/>
    <w:rsid w:val="006830AF"/>
    <w:rsid w:val="00683118"/>
    <w:rsid w:val="00683E4E"/>
    <w:rsid w:val="00683FC7"/>
    <w:rsid w:val="00684209"/>
    <w:rsid w:val="006848F4"/>
    <w:rsid w:val="00684910"/>
    <w:rsid w:val="00684920"/>
    <w:rsid w:val="006857B0"/>
    <w:rsid w:val="00685892"/>
    <w:rsid w:val="00685A8E"/>
    <w:rsid w:val="00685AE6"/>
    <w:rsid w:val="00686580"/>
    <w:rsid w:val="006865EB"/>
    <w:rsid w:val="00686F8F"/>
    <w:rsid w:val="006874F4"/>
    <w:rsid w:val="006877CC"/>
    <w:rsid w:val="00690825"/>
    <w:rsid w:val="00690FC9"/>
    <w:rsid w:val="0069136C"/>
    <w:rsid w:val="00691A80"/>
    <w:rsid w:val="00691BD6"/>
    <w:rsid w:val="0069202E"/>
    <w:rsid w:val="006921A1"/>
    <w:rsid w:val="006925D2"/>
    <w:rsid w:val="00692C4F"/>
    <w:rsid w:val="00692FDE"/>
    <w:rsid w:val="006934F4"/>
    <w:rsid w:val="006936FA"/>
    <w:rsid w:val="00693A02"/>
    <w:rsid w:val="00693EB2"/>
    <w:rsid w:val="0069401E"/>
    <w:rsid w:val="00694FC5"/>
    <w:rsid w:val="0069553A"/>
    <w:rsid w:val="006966C0"/>
    <w:rsid w:val="00696743"/>
    <w:rsid w:val="00696AE2"/>
    <w:rsid w:val="00696C40"/>
    <w:rsid w:val="00697CF1"/>
    <w:rsid w:val="00697E99"/>
    <w:rsid w:val="006A0AB2"/>
    <w:rsid w:val="006A24AD"/>
    <w:rsid w:val="006A2619"/>
    <w:rsid w:val="006A2972"/>
    <w:rsid w:val="006A3488"/>
    <w:rsid w:val="006A3DED"/>
    <w:rsid w:val="006A4889"/>
    <w:rsid w:val="006A48E7"/>
    <w:rsid w:val="006A4D8A"/>
    <w:rsid w:val="006A531C"/>
    <w:rsid w:val="006A536B"/>
    <w:rsid w:val="006A56B6"/>
    <w:rsid w:val="006A58DB"/>
    <w:rsid w:val="006A6046"/>
    <w:rsid w:val="006A6063"/>
    <w:rsid w:val="006A621F"/>
    <w:rsid w:val="006A646D"/>
    <w:rsid w:val="006B0057"/>
    <w:rsid w:val="006B06EA"/>
    <w:rsid w:val="006B2119"/>
    <w:rsid w:val="006B22BA"/>
    <w:rsid w:val="006B26AF"/>
    <w:rsid w:val="006B2848"/>
    <w:rsid w:val="006B2DD3"/>
    <w:rsid w:val="006B2DEA"/>
    <w:rsid w:val="006B3180"/>
    <w:rsid w:val="006B3A72"/>
    <w:rsid w:val="006B533B"/>
    <w:rsid w:val="006B5AD6"/>
    <w:rsid w:val="006B5F0F"/>
    <w:rsid w:val="006B6274"/>
    <w:rsid w:val="006B6341"/>
    <w:rsid w:val="006B66FC"/>
    <w:rsid w:val="006B6CA1"/>
    <w:rsid w:val="006B6CC0"/>
    <w:rsid w:val="006C0070"/>
    <w:rsid w:val="006C00CE"/>
    <w:rsid w:val="006C05D1"/>
    <w:rsid w:val="006C0B04"/>
    <w:rsid w:val="006C149B"/>
    <w:rsid w:val="006C188F"/>
    <w:rsid w:val="006C1F04"/>
    <w:rsid w:val="006C1F43"/>
    <w:rsid w:val="006C210D"/>
    <w:rsid w:val="006C218A"/>
    <w:rsid w:val="006C3CD7"/>
    <w:rsid w:val="006C3D67"/>
    <w:rsid w:val="006C3E4B"/>
    <w:rsid w:val="006C4160"/>
    <w:rsid w:val="006C4744"/>
    <w:rsid w:val="006C549A"/>
    <w:rsid w:val="006C56A2"/>
    <w:rsid w:val="006C5AAF"/>
    <w:rsid w:val="006C5B2B"/>
    <w:rsid w:val="006C5B66"/>
    <w:rsid w:val="006C5B6A"/>
    <w:rsid w:val="006C6BA8"/>
    <w:rsid w:val="006C6C96"/>
    <w:rsid w:val="006C72E2"/>
    <w:rsid w:val="006C7BB4"/>
    <w:rsid w:val="006D0CE5"/>
    <w:rsid w:val="006D1134"/>
    <w:rsid w:val="006D1D95"/>
    <w:rsid w:val="006D2287"/>
    <w:rsid w:val="006D23C5"/>
    <w:rsid w:val="006D2902"/>
    <w:rsid w:val="006D2FDB"/>
    <w:rsid w:val="006D3617"/>
    <w:rsid w:val="006D451A"/>
    <w:rsid w:val="006D591D"/>
    <w:rsid w:val="006D595A"/>
    <w:rsid w:val="006D5F2B"/>
    <w:rsid w:val="006D60F8"/>
    <w:rsid w:val="006D6163"/>
    <w:rsid w:val="006D631C"/>
    <w:rsid w:val="006D64B3"/>
    <w:rsid w:val="006D665D"/>
    <w:rsid w:val="006D6926"/>
    <w:rsid w:val="006D6D0F"/>
    <w:rsid w:val="006D6DB9"/>
    <w:rsid w:val="006D72B0"/>
    <w:rsid w:val="006E036E"/>
    <w:rsid w:val="006E0486"/>
    <w:rsid w:val="006E05D2"/>
    <w:rsid w:val="006E06FD"/>
    <w:rsid w:val="006E0969"/>
    <w:rsid w:val="006E1AC4"/>
    <w:rsid w:val="006E1C89"/>
    <w:rsid w:val="006E1CFD"/>
    <w:rsid w:val="006E2285"/>
    <w:rsid w:val="006E24EE"/>
    <w:rsid w:val="006E264B"/>
    <w:rsid w:val="006E27F2"/>
    <w:rsid w:val="006E2988"/>
    <w:rsid w:val="006E382E"/>
    <w:rsid w:val="006E3B2B"/>
    <w:rsid w:val="006E3DB6"/>
    <w:rsid w:val="006E40BF"/>
    <w:rsid w:val="006E43F1"/>
    <w:rsid w:val="006E4A90"/>
    <w:rsid w:val="006E5574"/>
    <w:rsid w:val="006E5C18"/>
    <w:rsid w:val="006E5C39"/>
    <w:rsid w:val="006E60DC"/>
    <w:rsid w:val="006E6939"/>
    <w:rsid w:val="006E6FE8"/>
    <w:rsid w:val="006E7706"/>
    <w:rsid w:val="006E7771"/>
    <w:rsid w:val="006E77A0"/>
    <w:rsid w:val="006E7831"/>
    <w:rsid w:val="006F0649"/>
    <w:rsid w:val="006F098D"/>
    <w:rsid w:val="006F207D"/>
    <w:rsid w:val="006F29FB"/>
    <w:rsid w:val="006F32D6"/>
    <w:rsid w:val="006F359F"/>
    <w:rsid w:val="006F3C49"/>
    <w:rsid w:val="006F456E"/>
    <w:rsid w:val="006F464F"/>
    <w:rsid w:val="006F4AD2"/>
    <w:rsid w:val="006F70F2"/>
    <w:rsid w:val="006F7483"/>
    <w:rsid w:val="006F76AE"/>
    <w:rsid w:val="006F798E"/>
    <w:rsid w:val="006F7B10"/>
    <w:rsid w:val="0070048B"/>
    <w:rsid w:val="00700A94"/>
    <w:rsid w:val="00700B93"/>
    <w:rsid w:val="0070116A"/>
    <w:rsid w:val="00701287"/>
    <w:rsid w:val="00703294"/>
    <w:rsid w:val="0070330C"/>
    <w:rsid w:val="0070381F"/>
    <w:rsid w:val="00703862"/>
    <w:rsid w:val="00704D5B"/>
    <w:rsid w:val="00704E4A"/>
    <w:rsid w:val="00705DF0"/>
    <w:rsid w:val="00705EDE"/>
    <w:rsid w:val="00706587"/>
    <w:rsid w:val="0070680D"/>
    <w:rsid w:val="0070743F"/>
    <w:rsid w:val="00707AC9"/>
    <w:rsid w:val="00707CDD"/>
    <w:rsid w:val="00710347"/>
    <w:rsid w:val="007103E4"/>
    <w:rsid w:val="00710E5A"/>
    <w:rsid w:val="00711268"/>
    <w:rsid w:val="00711603"/>
    <w:rsid w:val="007116C4"/>
    <w:rsid w:val="00711771"/>
    <w:rsid w:val="00711F39"/>
    <w:rsid w:val="00711F49"/>
    <w:rsid w:val="0071232A"/>
    <w:rsid w:val="00712444"/>
    <w:rsid w:val="00712514"/>
    <w:rsid w:val="00712696"/>
    <w:rsid w:val="00712705"/>
    <w:rsid w:val="0071275E"/>
    <w:rsid w:val="00712775"/>
    <w:rsid w:val="00712987"/>
    <w:rsid w:val="007129D0"/>
    <w:rsid w:val="00712DE7"/>
    <w:rsid w:val="007136EF"/>
    <w:rsid w:val="0071373C"/>
    <w:rsid w:val="0071449B"/>
    <w:rsid w:val="00714D12"/>
    <w:rsid w:val="0071561C"/>
    <w:rsid w:val="00716540"/>
    <w:rsid w:val="0071694B"/>
    <w:rsid w:val="00717B92"/>
    <w:rsid w:val="00717BBA"/>
    <w:rsid w:val="00720683"/>
    <w:rsid w:val="00720A0B"/>
    <w:rsid w:val="00720BC3"/>
    <w:rsid w:val="007211E9"/>
    <w:rsid w:val="007212BA"/>
    <w:rsid w:val="0072172B"/>
    <w:rsid w:val="00721B48"/>
    <w:rsid w:val="00721C4A"/>
    <w:rsid w:val="00721E2D"/>
    <w:rsid w:val="0072233D"/>
    <w:rsid w:val="00722352"/>
    <w:rsid w:val="007223D9"/>
    <w:rsid w:val="00722A69"/>
    <w:rsid w:val="00723547"/>
    <w:rsid w:val="007237B9"/>
    <w:rsid w:val="00723839"/>
    <w:rsid w:val="00723997"/>
    <w:rsid w:val="007239EB"/>
    <w:rsid w:val="00723D4E"/>
    <w:rsid w:val="0072473F"/>
    <w:rsid w:val="00724DA7"/>
    <w:rsid w:val="0072570F"/>
    <w:rsid w:val="00725730"/>
    <w:rsid w:val="007258B7"/>
    <w:rsid w:val="00725BA5"/>
    <w:rsid w:val="00726308"/>
    <w:rsid w:val="007263E2"/>
    <w:rsid w:val="00726ACD"/>
    <w:rsid w:val="007270CC"/>
    <w:rsid w:val="00727E90"/>
    <w:rsid w:val="0073055B"/>
    <w:rsid w:val="00730741"/>
    <w:rsid w:val="00730CE6"/>
    <w:rsid w:val="0073119B"/>
    <w:rsid w:val="00731716"/>
    <w:rsid w:val="00731B38"/>
    <w:rsid w:val="00731BF4"/>
    <w:rsid w:val="00732065"/>
    <w:rsid w:val="0073217F"/>
    <w:rsid w:val="00732978"/>
    <w:rsid w:val="00732BF6"/>
    <w:rsid w:val="00733187"/>
    <w:rsid w:val="00733BC0"/>
    <w:rsid w:val="00734768"/>
    <w:rsid w:val="00734D4C"/>
    <w:rsid w:val="007350C1"/>
    <w:rsid w:val="007355B5"/>
    <w:rsid w:val="00735778"/>
    <w:rsid w:val="007369D3"/>
    <w:rsid w:val="007373FC"/>
    <w:rsid w:val="007379C8"/>
    <w:rsid w:val="00737AD5"/>
    <w:rsid w:val="0074009F"/>
    <w:rsid w:val="007402E3"/>
    <w:rsid w:val="007404D4"/>
    <w:rsid w:val="00740B23"/>
    <w:rsid w:val="00740DE4"/>
    <w:rsid w:val="0074179A"/>
    <w:rsid w:val="00741DC9"/>
    <w:rsid w:val="00741DD6"/>
    <w:rsid w:val="00741F25"/>
    <w:rsid w:val="0074276F"/>
    <w:rsid w:val="007430CB"/>
    <w:rsid w:val="007436C0"/>
    <w:rsid w:val="00743B51"/>
    <w:rsid w:val="00743D45"/>
    <w:rsid w:val="00744EC6"/>
    <w:rsid w:val="00745526"/>
    <w:rsid w:val="007456F0"/>
    <w:rsid w:val="007457C4"/>
    <w:rsid w:val="00745B2A"/>
    <w:rsid w:val="007465ED"/>
    <w:rsid w:val="00746AD3"/>
    <w:rsid w:val="00746F27"/>
    <w:rsid w:val="00747C17"/>
    <w:rsid w:val="00750528"/>
    <w:rsid w:val="0075082D"/>
    <w:rsid w:val="00750AEC"/>
    <w:rsid w:val="00750B70"/>
    <w:rsid w:val="00751C50"/>
    <w:rsid w:val="00751C60"/>
    <w:rsid w:val="00751EED"/>
    <w:rsid w:val="007520E3"/>
    <w:rsid w:val="0075239A"/>
    <w:rsid w:val="00752E59"/>
    <w:rsid w:val="00753727"/>
    <w:rsid w:val="00753B05"/>
    <w:rsid w:val="00753B5C"/>
    <w:rsid w:val="00754320"/>
    <w:rsid w:val="00754361"/>
    <w:rsid w:val="007549C4"/>
    <w:rsid w:val="007550C4"/>
    <w:rsid w:val="007552C0"/>
    <w:rsid w:val="00755450"/>
    <w:rsid w:val="00755C81"/>
    <w:rsid w:val="00756223"/>
    <w:rsid w:val="0075658B"/>
    <w:rsid w:val="00757136"/>
    <w:rsid w:val="007607C1"/>
    <w:rsid w:val="007610E4"/>
    <w:rsid w:val="007611F9"/>
    <w:rsid w:val="00761D00"/>
    <w:rsid w:val="007626EA"/>
    <w:rsid w:val="007633CF"/>
    <w:rsid w:val="00763671"/>
    <w:rsid w:val="00763824"/>
    <w:rsid w:val="00763BB0"/>
    <w:rsid w:val="007649E7"/>
    <w:rsid w:val="007651BD"/>
    <w:rsid w:val="007651F6"/>
    <w:rsid w:val="007663BA"/>
    <w:rsid w:val="00766766"/>
    <w:rsid w:val="007673FD"/>
    <w:rsid w:val="0076794A"/>
    <w:rsid w:val="00767C9C"/>
    <w:rsid w:val="00767ED8"/>
    <w:rsid w:val="007700FC"/>
    <w:rsid w:val="0077055B"/>
    <w:rsid w:val="0077063F"/>
    <w:rsid w:val="007711C1"/>
    <w:rsid w:val="007715D2"/>
    <w:rsid w:val="007729E8"/>
    <w:rsid w:val="00773067"/>
    <w:rsid w:val="007732CB"/>
    <w:rsid w:val="007739FC"/>
    <w:rsid w:val="00773E66"/>
    <w:rsid w:val="007743E3"/>
    <w:rsid w:val="00774908"/>
    <w:rsid w:val="007753A1"/>
    <w:rsid w:val="007758DB"/>
    <w:rsid w:val="00775CE3"/>
    <w:rsid w:val="00775F50"/>
    <w:rsid w:val="00775FE3"/>
    <w:rsid w:val="007760AB"/>
    <w:rsid w:val="007760AE"/>
    <w:rsid w:val="0077636E"/>
    <w:rsid w:val="007767B6"/>
    <w:rsid w:val="007767D5"/>
    <w:rsid w:val="007769AF"/>
    <w:rsid w:val="007771E6"/>
    <w:rsid w:val="0077731F"/>
    <w:rsid w:val="00777747"/>
    <w:rsid w:val="00780E28"/>
    <w:rsid w:val="00780EB3"/>
    <w:rsid w:val="00781489"/>
    <w:rsid w:val="00781A5F"/>
    <w:rsid w:val="00781B5F"/>
    <w:rsid w:val="00781BFE"/>
    <w:rsid w:val="0078287F"/>
    <w:rsid w:val="00782D0D"/>
    <w:rsid w:val="00783D02"/>
    <w:rsid w:val="00783D5D"/>
    <w:rsid w:val="00784061"/>
    <w:rsid w:val="00785317"/>
    <w:rsid w:val="00786129"/>
    <w:rsid w:val="00786572"/>
    <w:rsid w:val="00787528"/>
    <w:rsid w:val="00787A4C"/>
    <w:rsid w:val="00787E8E"/>
    <w:rsid w:val="00790607"/>
    <w:rsid w:val="007910C5"/>
    <w:rsid w:val="00791364"/>
    <w:rsid w:val="007915E8"/>
    <w:rsid w:val="0079190C"/>
    <w:rsid w:val="00792535"/>
    <w:rsid w:val="007927B3"/>
    <w:rsid w:val="0079293B"/>
    <w:rsid w:val="00792F59"/>
    <w:rsid w:val="007930DF"/>
    <w:rsid w:val="0079330D"/>
    <w:rsid w:val="007945E2"/>
    <w:rsid w:val="0079471F"/>
    <w:rsid w:val="007950C0"/>
    <w:rsid w:val="00795D4C"/>
    <w:rsid w:val="007961DF"/>
    <w:rsid w:val="007972CA"/>
    <w:rsid w:val="0079788F"/>
    <w:rsid w:val="007979C5"/>
    <w:rsid w:val="007A01D3"/>
    <w:rsid w:val="007A0DCB"/>
    <w:rsid w:val="007A19A5"/>
    <w:rsid w:val="007A1CB1"/>
    <w:rsid w:val="007A2CDF"/>
    <w:rsid w:val="007A333E"/>
    <w:rsid w:val="007A4088"/>
    <w:rsid w:val="007A4600"/>
    <w:rsid w:val="007A550F"/>
    <w:rsid w:val="007A59A8"/>
    <w:rsid w:val="007A64C9"/>
    <w:rsid w:val="007A73B8"/>
    <w:rsid w:val="007B0130"/>
    <w:rsid w:val="007B0163"/>
    <w:rsid w:val="007B0A4A"/>
    <w:rsid w:val="007B1CEA"/>
    <w:rsid w:val="007B1D5E"/>
    <w:rsid w:val="007B20BF"/>
    <w:rsid w:val="007B2A06"/>
    <w:rsid w:val="007B2A38"/>
    <w:rsid w:val="007B2CF7"/>
    <w:rsid w:val="007B2F0E"/>
    <w:rsid w:val="007B2F19"/>
    <w:rsid w:val="007B348E"/>
    <w:rsid w:val="007B378C"/>
    <w:rsid w:val="007B3CC7"/>
    <w:rsid w:val="007B402A"/>
    <w:rsid w:val="007B41BC"/>
    <w:rsid w:val="007B4A3A"/>
    <w:rsid w:val="007B4A76"/>
    <w:rsid w:val="007B4BC8"/>
    <w:rsid w:val="007B5732"/>
    <w:rsid w:val="007B62DA"/>
    <w:rsid w:val="007B63A4"/>
    <w:rsid w:val="007B6FDF"/>
    <w:rsid w:val="007B7019"/>
    <w:rsid w:val="007B73B6"/>
    <w:rsid w:val="007B76A9"/>
    <w:rsid w:val="007C059F"/>
    <w:rsid w:val="007C08D4"/>
    <w:rsid w:val="007C163C"/>
    <w:rsid w:val="007C1D38"/>
    <w:rsid w:val="007C1F09"/>
    <w:rsid w:val="007C25FD"/>
    <w:rsid w:val="007C3644"/>
    <w:rsid w:val="007C36CE"/>
    <w:rsid w:val="007C3EE8"/>
    <w:rsid w:val="007C3F17"/>
    <w:rsid w:val="007C3FDD"/>
    <w:rsid w:val="007C4044"/>
    <w:rsid w:val="007C4334"/>
    <w:rsid w:val="007C4395"/>
    <w:rsid w:val="007C43D4"/>
    <w:rsid w:val="007C4C0D"/>
    <w:rsid w:val="007C4E8B"/>
    <w:rsid w:val="007C4F6B"/>
    <w:rsid w:val="007C62BB"/>
    <w:rsid w:val="007D065E"/>
    <w:rsid w:val="007D10D4"/>
    <w:rsid w:val="007D1AD6"/>
    <w:rsid w:val="007D1B77"/>
    <w:rsid w:val="007D1C50"/>
    <w:rsid w:val="007D1E5D"/>
    <w:rsid w:val="007D3274"/>
    <w:rsid w:val="007D34E0"/>
    <w:rsid w:val="007D3869"/>
    <w:rsid w:val="007D4288"/>
    <w:rsid w:val="007D4C3A"/>
    <w:rsid w:val="007D54BB"/>
    <w:rsid w:val="007D5771"/>
    <w:rsid w:val="007D60AF"/>
    <w:rsid w:val="007D623E"/>
    <w:rsid w:val="007D6343"/>
    <w:rsid w:val="007D6BEE"/>
    <w:rsid w:val="007D718E"/>
    <w:rsid w:val="007D736B"/>
    <w:rsid w:val="007D7721"/>
    <w:rsid w:val="007D7C78"/>
    <w:rsid w:val="007E0278"/>
    <w:rsid w:val="007E02E4"/>
    <w:rsid w:val="007E11F1"/>
    <w:rsid w:val="007E1286"/>
    <w:rsid w:val="007E273F"/>
    <w:rsid w:val="007E30DE"/>
    <w:rsid w:val="007E32CE"/>
    <w:rsid w:val="007E42C7"/>
    <w:rsid w:val="007E453F"/>
    <w:rsid w:val="007E45D1"/>
    <w:rsid w:val="007E4D60"/>
    <w:rsid w:val="007E7436"/>
    <w:rsid w:val="007E76BE"/>
    <w:rsid w:val="007E7FC0"/>
    <w:rsid w:val="007F03D5"/>
    <w:rsid w:val="007F084A"/>
    <w:rsid w:val="007F0D6C"/>
    <w:rsid w:val="007F22D4"/>
    <w:rsid w:val="007F2368"/>
    <w:rsid w:val="007F2BE3"/>
    <w:rsid w:val="007F2D3F"/>
    <w:rsid w:val="007F3420"/>
    <w:rsid w:val="007F367A"/>
    <w:rsid w:val="007F42C5"/>
    <w:rsid w:val="007F4C2D"/>
    <w:rsid w:val="007F5F7E"/>
    <w:rsid w:val="007F622F"/>
    <w:rsid w:val="007F629D"/>
    <w:rsid w:val="007F6390"/>
    <w:rsid w:val="007F6758"/>
    <w:rsid w:val="007F6761"/>
    <w:rsid w:val="007F6E07"/>
    <w:rsid w:val="007F7824"/>
    <w:rsid w:val="007F7B4A"/>
    <w:rsid w:val="00801361"/>
    <w:rsid w:val="008013D3"/>
    <w:rsid w:val="008015A7"/>
    <w:rsid w:val="00802779"/>
    <w:rsid w:val="00802905"/>
    <w:rsid w:val="00802B1F"/>
    <w:rsid w:val="008044A7"/>
    <w:rsid w:val="008045D6"/>
    <w:rsid w:val="008054C4"/>
    <w:rsid w:val="008055BE"/>
    <w:rsid w:val="00806447"/>
    <w:rsid w:val="00806722"/>
    <w:rsid w:val="00807496"/>
    <w:rsid w:val="00807942"/>
    <w:rsid w:val="00807A39"/>
    <w:rsid w:val="00807EF7"/>
    <w:rsid w:val="00810029"/>
    <w:rsid w:val="0081017E"/>
    <w:rsid w:val="008102B9"/>
    <w:rsid w:val="00811EEE"/>
    <w:rsid w:val="008122EA"/>
    <w:rsid w:val="00812EC7"/>
    <w:rsid w:val="00812F78"/>
    <w:rsid w:val="0081331D"/>
    <w:rsid w:val="008133C7"/>
    <w:rsid w:val="00813703"/>
    <w:rsid w:val="00813CC1"/>
    <w:rsid w:val="008141BB"/>
    <w:rsid w:val="00814798"/>
    <w:rsid w:val="008147EC"/>
    <w:rsid w:val="0081539B"/>
    <w:rsid w:val="0081545B"/>
    <w:rsid w:val="00815899"/>
    <w:rsid w:val="00816438"/>
    <w:rsid w:val="00816455"/>
    <w:rsid w:val="008164CE"/>
    <w:rsid w:val="0081722D"/>
    <w:rsid w:val="008172C8"/>
    <w:rsid w:val="00817F88"/>
    <w:rsid w:val="00820307"/>
    <w:rsid w:val="00820C12"/>
    <w:rsid w:val="00820C24"/>
    <w:rsid w:val="00821532"/>
    <w:rsid w:val="00821C4B"/>
    <w:rsid w:val="008220A1"/>
    <w:rsid w:val="008222A3"/>
    <w:rsid w:val="0082241D"/>
    <w:rsid w:val="008232CA"/>
    <w:rsid w:val="00823716"/>
    <w:rsid w:val="00823CB0"/>
    <w:rsid w:val="008247B5"/>
    <w:rsid w:val="0082487B"/>
    <w:rsid w:val="00824B70"/>
    <w:rsid w:val="00824C95"/>
    <w:rsid w:val="00825283"/>
    <w:rsid w:val="008255D9"/>
    <w:rsid w:val="00825EE4"/>
    <w:rsid w:val="00826434"/>
    <w:rsid w:val="00826F26"/>
    <w:rsid w:val="00826FF1"/>
    <w:rsid w:val="00827471"/>
    <w:rsid w:val="00827B3D"/>
    <w:rsid w:val="00827BE0"/>
    <w:rsid w:val="00827E6D"/>
    <w:rsid w:val="00827F81"/>
    <w:rsid w:val="00830364"/>
    <w:rsid w:val="008307F3"/>
    <w:rsid w:val="008317C9"/>
    <w:rsid w:val="00831886"/>
    <w:rsid w:val="00831995"/>
    <w:rsid w:val="00831B76"/>
    <w:rsid w:val="008320A9"/>
    <w:rsid w:val="00832126"/>
    <w:rsid w:val="008325BF"/>
    <w:rsid w:val="00832719"/>
    <w:rsid w:val="00833B9B"/>
    <w:rsid w:val="00833BE8"/>
    <w:rsid w:val="00833FB7"/>
    <w:rsid w:val="00834100"/>
    <w:rsid w:val="008343B8"/>
    <w:rsid w:val="00834B84"/>
    <w:rsid w:val="00834DDC"/>
    <w:rsid w:val="00835181"/>
    <w:rsid w:val="00835A22"/>
    <w:rsid w:val="00835DA2"/>
    <w:rsid w:val="00836233"/>
    <w:rsid w:val="00836809"/>
    <w:rsid w:val="00836883"/>
    <w:rsid w:val="00837B44"/>
    <w:rsid w:val="00837B92"/>
    <w:rsid w:val="00837D55"/>
    <w:rsid w:val="00840731"/>
    <w:rsid w:val="00840A1A"/>
    <w:rsid w:val="00840B0B"/>
    <w:rsid w:val="00840DF4"/>
    <w:rsid w:val="00841411"/>
    <w:rsid w:val="00841719"/>
    <w:rsid w:val="0084172B"/>
    <w:rsid w:val="00841ECE"/>
    <w:rsid w:val="00841ED7"/>
    <w:rsid w:val="008428F3"/>
    <w:rsid w:val="00842F07"/>
    <w:rsid w:val="008440B9"/>
    <w:rsid w:val="008450B9"/>
    <w:rsid w:val="0084596F"/>
    <w:rsid w:val="00845F81"/>
    <w:rsid w:val="00846FD7"/>
    <w:rsid w:val="00847240"/>
    <w:rsid w:val="00847259"/>
    <w:rsid w:val="00847CAB"/>
    <w:rsid w:val="00847D12"/>
    <w:rsid w:val="00850263"/>
    <w:rsid w:val="00850512"/>
    <w:rsid w:val="00850642"/>
    <w:rsid w:val="00850C97"/>
    <w:rsid w:val="00850E4B"/>
    <w:rsid w:val="0085141A"/>
    <w:rsid w:val="0085293C"/>
    <w:rsid w:val="00852A18"/>
    <w:rsid w:val="00852D49"/>
    <w:rsid w:val="008531BD"/>
    <w:rsid w:val="00853AE7"/>
    <w:rsid w:val="00854861"/>
    <w:rsid w:val="008548A9"/>
    <w:rsid w:val="008548C8"/>
    <w:rsid w:val="00854E46"/>
    <w:rsid w:val="008551E8"/>
    <w:rsid w:val="0085569B"/>
    <w:rsid w:val="00855905"/>
    <w:rsid w:val="00855A56"/>
    <w:rsid w:val="008560E8"/>
    <w:rsid w:val="008561D4"/>
    <w:rsid w:val="00856947"/>
    <w:rsid w:val="008569A0"/>
    <w:rsid w:val="00856B7D"/>
    <w:rsid w:val="008614EC"/>
    <w:rsid w:val="00862046"/>
    <w:rsid w:val="008620A5"/>
    <w:rsid w:val="0086274B"/>
    <w:rsid w:val="0086275A"/>
    <w:rsid w:val="00862CDC"/>
    <w:rsid w:val="0086340F"/>
    <w:rsid w:val="008646D0"/>
    <w:rsid w:val="00864E40"/>
    <w:rsid w:val="00866BFE"/>
    <w:rsid w:val="00866C3A"/>
    <w:rsid w:val="00866C5B"/>
    <w:rsid w:val="00867838"/>
    <w:rsid w:val="00867862"/>
    <w:rsid w:val="00867B4E"/>
    <w:rsid w:val="00870196"/>
    <w:rsid w:val="00870332"/>
    <w:rsid w:val="00870751"/>
    <w:rsid w:val="008722B4"/>
    <w:rsid w:val="008725BB"/>
    <w:rsid w:val="008729D0"/>
    <w:rsid w:val="00872B08"/>
    <w:rsid w:val="00872B74"/>
    <w:rsid w:val="0087426E"/>
    <w:rsid w:val="00875030"/>
    <w:rsid w:val="008753E9"/>
    <w:rsid w:val="00875501"/>
    <w:rsid w:val="00875530"/>
    <w:rsid w:val="008756F4"/>
    <w:rsid w:val="00875743"/>
    <w:rsid w:val="00875851"/>
    <w:rsid w:val="0087587F"/>
    <w:rsid w:val="00876618"/>
    <w:rsid w:val="0087665E"/>
    <w:rsid w:val="00876703"/>
    <w:rsid w:val="00876E30"/>
    <w:rsid w:val="00876F30"/>
    <w:rsid w:val="008770BF"/>
    <w:rsid w:val="00877218"/>
    <w:rsid w:val="00877881"/>
    <w:rsid w:val="008779FA"/>
    <w:rsid w:val="008804D4"/>
    <w:rsid w:val="0088052F"/>
    <w:rsid w:val="00880F5E"/>
    <w:rsid w:val="00881B5B"/>
    <w:rsid w:val="0088206D"/>
    <w:rsid w:val="00882606"/>
    <w:rsid w:val="00882689"/>
    <w:rsid w:val="0088319B"/>
    <w:rsid w:val="00883597"/>
    <w:rsid w:val="008836D6"/>
    <w:rsid w:val="00883E98"/>
    <w:rsid w:val="008849E4"/>
    <w:rsid w:val="00885405"/>
    <w:rsid w:val="0088540A"/>
    <w:rsid w:val="008857BD"/>
    <w:rsid w:val="00885B07"/>
    <w:rsid w:val="008861A0"/>
    <w:rsid w:val="00886204"/>
    <w:rsid w:val="00886655"/>
    <w:rsid w:val="0088685D"/>
    <w:rsid w:val="00887D62"/>
    <w:rsid w:val="00887D76"/>
    <w:rsid w:val="00890019"/>
    <w:rsid w:val="00890102"/>
    <w:rsid w:val="008903B5"/>
    <w:rsid w:val="008904F6"/>
    <w:rsid w:val="00890511"/>
    <w:rsid w:val="008905CA"/>
    <w:rsid w:val="00890DF7"/>
    <w:rsid w:val="008911B5"/>
    <w:rsid w:val="008912B6"/>
    <w:rsid w:val="008913DF"/>
    <w:rsid w:val="00891C5D"/>
    <w:rsid w:val="0089209A"/>
    <w:rsid w:val="008928BF"/>
    <w:rsid w:val="00892C19"/>
    <w:rsid w:val="00892D41"/>
    <w:rsid w:val="00893151"/>
    <w:rsid w:val="008932FE"/>
    <w:rsid w:val="00893669"/>
    <w:rsid w:val="00893B2D"/>
    <w:rsid w:val="00893BF5"/>
    <w:rsid w:val="00893BFB"/>
    <w:rsid w:val="00894847"/>
    <w:rsid w:val="0089494A"/>
    <w:rsid w:val="00895207"/>
    <w:rsid w:val="008954C0"/>
    <w:rsid w:val="008959F5"/>
    <w:rsid w:val="00896365"/>
    <w:rsid w:val="008972AB"/>
    <w:rsid w:val="00897530"/>
    <w:rsid w:val="0089792E"/>
    <w:rsid w:val="008A03DC"/>
    <w:rsid w:val="008A06ED"/>
    <w:rsid w:val="008A0C3F"/>
    <w:rsid w:val="008A26A9"/>
    <w:rsid w:val="008A2C5A"/>
    <w:rsid w:val="008A3BED"/>
    <w:rsid w:val="008A4019"/>
    <w:rsid w:val="008A448B"/>
    <w:rsid w:val="008A454C"/>
    <w:rsid w:val="008A4A11"/>
    <w:rsid w:val="008A53EA"/>
    <w:rsid w:val="008A5FCC"/>
    <w:rsid w:val="008A68AB"/>
    <w:rsid w:val="008A7799"/>
    <w:rsid w:val="008A7B14"/>
    <w:rsid w:val="008B09D7"/>
    <w:rsid w:val="008B0F26"/>
    <w:rsid w:val="008B14A9"/>
    <w:rsid w:val="008B2C09"/>
    <w:rsid w:val="008B378F"/>
    <w:rsid w:val="008B41B2"/>
    <w:rsid w:val="008B4831"/>
    <w:rsid w:val="008B48DE"/>
    <w:rsid w:val="008B5ED3"/>
    <w:rsid w:val="008B6F6A"/>
    <w:rsid w:val="008B7E1B"/>
    <w:rsid w:val="008B7F27"/>
    <w:rsid w:val="008B7F81"/>
    <w:rsid w:val="008C089F"/>
    <w:rsid w:val="008C0AFB"/>
    <w:rsid w:val="008C0B89"/>
    <w:rsid w:val="008C1613"/>
    <w:rsid w:val="008C215C"/>
    <w:rsid w:val="008C2421"/>
    <w:rsid w:val="008C24FC"/>
    <w:rsid w:val="008C2603"/>
    <w:rsid w:val="008C2C44"/>
    <w:rsid w:val="008C2D78"/>
    <w:rsid w:val="008C2FA3"/>
    <w:rsid w:val="008C3149"/>
    <w:rsid w:val="008C34D7"/>
    <w:rsid w:val="008C421F"/>
    <w:rsid w:val="008C4584"/>
    <w:rsid w:val="008C4EFC"/>
    <w:rsid w:val="008C55B3"/>
    <w:rsid w:val="008C5C82"/>
    <w:rsid w:val="008C62EA"/>
    <w:rsid w:val="008C6371"/>
    <w:rsid w:val="008C67F0"/>
    <w:rsid w:val="008C6A70"/>
    <w:rsid w:val="008C6D23"/>
    <w:rsid w:val="008C72C8"/>
    <w:rsid w:val="008C734F"/>
    <w:rsid w:val="008C74D6"/>
    <w:rsid w:val="008C787A"/>
    <w:rsid w:val="008C7B19"/>
    <w:rsid w:val="008D0130"/>
    <w:rsid w:val="008D05F8"/>
    <w:rsid w:val="008D06A9"/>
    <w:rsid w:val="008D0AB9"/>
    <w:rsid w:val="008D2428"/>
    <w:rsid w:val="008D2710"/>
    <w:rsid w:val="008D2AD8"/>
    <w:rsid w:val="008D2C1D"/>
    <w:rsid w:val="008D355D"/>
    <w:rsid w:val="008D3A44"/>
    <w:rsid w:val="008D3AD2"/>
    <w:rsid w:val="008D3FBE"/>
    <w:rsid w:val="008D4658"/>
    <w:rsid w:val="008D46A0"/>
    <w:rsid w:val="008D5431"/>
    <w:rsid w:val="008D5DA3"/>
    <w:rsid w:val="008D5E05"/>
    <w:rsid w:val="008D61B1"/>
    <w:rsid w:val="008D63E1"/>
    <w:rsid w:val="008D7CA0"/>
    <w:rsid w:val="008E0CBE"/>
    <w:rsid w:val="008E0D32"/>
    <w:rsid w:val="008E0FF3"/>
    <w:rsid w:val="008E122C"/>
    <w:rsid w:val="008E2085"/>
    <w:rsid w:val="008E21BF"/>
    <w:rsid w:val="008E234E"/>
    <w:rsid w:val="008E3018"/>
    <w:rsid w:val="008E31E7"/>
    <w:rsid w:val="008E37E6"/>
    <w:rsid w:val="008E3C67"/>
    <w:rsid w:val="008E4067"/>
    <w:rsid w:val="008E4561"/>
    <w:rsid w:val="008E4F8F"/>
    <w:rsid w:val="008E5606"/>
    <w:rsid w:val="008E562E"/>
    <w:rsid w:val="008E5BD7"/>
    <w:rsid w:val="008E5E28"/>
    <w:rsid w:val="008E61F7"/>
    <w:rsid w:val="008E696C"/>
    <w:rsid w:val="008E6B36"/>
    <w:rsid w:val="008E7319"/>
    <w:rsid w:val="008E795A"/>
    <w:rsid w:val="008F045B"/>
    <w:rsid w:val="008F05AE"/>
    <w:rsid w:val="008F0D49"/>
    <w:rsid w:val="008F0E13"/>
    <w:rsid w:val="008F1068"/>
    <w:rsid w:val="008F19A9"/>
    <w:rsid w:val="008F2A8B"/>
    <w:rsid w:val="008F2F36"/>
    <w:rsid w:val="008F2F94"/>
    <w:rsid w:val="008F2FFE"/>
    <w:rsid w:val="008F4092"/>
    <w:rsid w:val="008F43D1"/>
    <w:rsid w:val="008F4627"/>
    <w:rsid w:val="008F4C48"/>
    <w:rsid w:val="008F4CB1"/>
    <w:rsid w:val="008F4CFB"/>
    <w:rsid w:val="008F4D7D"/>
    <w:rsid w:val="008F4F90"/>
    <w:rsid w:val="008F5A86"/>
    <w:rsid w:val="008F5C90"/>
    <w:rsid w:val="008F6063"/>
    <w:rsid w:val="008F6567"/>
    <w:rsid w:val="008F6993"/>
    <w:rsid w:val="008F6BF4"/>
    <w:rsid w:val="008F6BF6"/>
    <w:rsid w:val="008F735B"/>
    <w:rsid w:val="008F7610"/>
    <w:rsid w:val="008F76CA"/>
    <w:rsid w:val="008F7764"/>
    <w:rsid w:val="008F783E"/>
    <w:rsid w:val="008F799A"/>
    <w:rsid w:val="0090046A"/>
    <w:rsid w:val="00900698"/>
    <w:rsid w:val="00900794"/>
    <w:rsid w:val="009009B6"/>
    <w:rsid w:val="00900D31"/>
    <w:rsid w:val="00901135"/>
    <w:rsid w:val="00901F7B"/>
    <w:rsid w:val="00902806"/>
    <w:rsid w:val="00902F2A"/>
    <w:rsid w:val="009036BD"/>
    <w:rsid w:val="00904043"/>
    <w:rsid w:val="0090416D"/>
    <w:rsid w:val="009042E7"/>
    <w:rsid w:val="00904706"/>
    <w:rsid w:val="00904BAD"/>
    <w:rsid w:val="0090548A"/>
    <w:rsid w:val="00905EFD"/>
    <w:rsid w:val="00906011"/>
    <w:rsid w:val="009063B6"/>
    <w:rsid w:val="00906739"/>
    <w:rsid w:val="009069B7"/>
    <w:rsid w:val="0090766F"/>
    <w:rsid w:val="009078F9"/>
    <w:rsid w:val="00907F53"/>
    <w:rsid w:val="00910A13"/>
    <w:rsid w:val="00910A91"/>
    <w:rsid w:val="00911882"/>
    <w:rsid w:val="00912ABD"/>
    <w:rsid w:val="00912B1C"/>
    <w:rsid w:val="009131E9"/>
    <w:rsid w:val="00913E16"/>
    <w:rsid w:val="00913E1A"/>
    <w:rsid w:val="009144D0"/>
    <w:rsid w:val="0091595D"/>
    <w:rsid w:val="0091729B"/>
    <w:rsid w:val="0091773E"/>
    <w:rsid w:val="0092075A"/>
    <w:rsid w:val="00920E3B"/>
    <w:rsid w:val="00920E65"/>
    <w:rsid w:val="009215FE"/>
    <w:rsid w:val="00922222"/>
    <w:rsid w:val="0092279D"/>
    <w:rsid w:val="00922D79"/>
    <w:rsid w:val="00922EA6"/>
    <w:rsid w:val="009239E0"/>
    <w:rsid w:val="009240C5"/>
    <w:rsid w:val="00924899"/>
    <w:rsid w:val="0092505C"/>
    <w:rsid w:val="009253B7"/>
    <w:rsid w:val="009253C7"/>
    <w:rsid w:val="009254D6"/>
    <w:rsid w:val="00925698"/>
    <w:rsid w:val="00925CE2"/>
    <w:rsid w:val="00925DD6"/>
    <w:rsid w:val="00926048"/>
    <w:rsid w:val="00926100"/>
    <w:rsid w:val="00927171"/>
    <w:rsid w:val="0092745E"/>
    <w:rsid w:val="0092748A"/>
    <w:rsid w:val="00927648"/>
    <w:rsid w:val="00927FDC"/>
    <w:rsid w:val="00930FAE"/>
    <w:rsid w:val="00931386"/>
    <w:rsid w:val="00931659"/>
    <w:rsid w:val="0093188F"/>
    <w:rsid w:val="00931DBF"/>
    <w:rsid w:val="00931E22"/>
    <w:rsid w:val="00931FA0"/>
    <w:rsid w:val="009323A0"/>
    <w:rsid w:val="00932436"/>
    <w:rsid w:val="0093294B"/>
    <w:rsid w:val="00932E73"/>
    <w:rsid w:val="0093356F"/>
    <w:rsid w:val="0093435B"/>
    <w:rsid w:val="00935759"/>
    <w:rsid w:val="00935B25"/>
    <w:rsid w:val="00936277"/>
    <w:rsid w:val="00936604"/>
    <w:rsid w:val="00936738"/>
    <w:rsid w:val="009369E5"/>
    <w:rsid w:val="00936CB9"/>
    <w:rsid w:val="009371F2"/>
    <w:rsid w:val="00937B5A"/>
    <w:rsid w:val="009407C7"/>
    <w:rsid w:val="00940E1F"/>
    <w:rsid w:val="0094170C"/>
    <w:rsid w:val="00941CC7"/>
    <w:rsid w:val="00943B47"/>
    <w:rsid w:val="00944B96"/>
    <w:rsid w:val="00944ECE"/>
    <w:rsid w:val="00945EB0"/>
    <w:rsid w:val="009465A9"/>
    <w:rsid w:val="009465E5"/>
    <w:rsid w:val="009467E9"/>
    <w:rsid w:val="00947026"/>
    <w:rsid w:val="009476BB"/>
    <w:rsid w:val="0094778F"/>
    <w:rsid w:val="009478D3"/>
    <w:rsid w:val="009502AD"/>
    <w:rsid w:val="0095175F"/>
    <w:rsid w:val="009519F9"/>
    <w:rsid w:val="00951AAD"/>
    <w:rsid w:val="00951F8A"/>
    <w:rsid w:val="009520FB"/>
    <w:rsid w:val="009524EE"/>
    <w:rsid w:val="00952686"/>
    <w:rsid w:val="009534D3"/>
    <w:rsid w:val="0095360A"/>
    <w:rsid w:val="009536CC"/>
    <w:rsid w:val="009537E6"/>
    <w:rsid w:val="00954019"/>
    <w:rsid w:val="0095434E"/>
    <w:rsid w:val="009547B9"/>
    <w:rsid w:val="00954BC0"/>
    <w:rsid w:val="00954BC6"/>
    <w:rsid w:val="00954E48"/>
    <w:rsid w:val="009554C7"/>
    <w:rsid w:val="009557DC"/>
    <w:rsid w:val="009563D0"/>
    <w:rsid w:val="00956864"/>
    <w:rsid w:val="00956A4B"/>
    <w:rsid w:val="009579C5"/>
    <w:rsid w:val="0096013D"/>
    <w:rsid w:val="0096038C"/>
    <w:rsid w:val="0096178C"/>
    <w:rsid w:val="00961F6D"/>
    <w:rsid w:val="00962C05"/>
    <w:rsid w:val="00962CCE"/>
    <w:rsid w:val="00962F11"/>
    <w:rsid w:val="009638C7"/>
    <w:rsid w:val="00963F44"/>
    <w:rsid w:val="009642B7"/>
    <w:rsid w:val="00965302"/>
    <w:rsid w:val="00965441"/>
    <w:rsid w:val="009667C3"/>
    <w:rsid w:val="0096699F"/>
    <w:rsid w:val="00966CD2"/>
    <w:rsid w:val="00967000"/>
    <w:rsid w:val="0096702C"/>
    <w:rsid w:val="009671CF"/>
    <w:rsid w:val="0096786C"/>
    <w:rsid w:val="00967A95"/>
    <w:rsid w:val="00967C60"/>
    <w:rsid w:val="00970BF0"/>
    <w:rsid w:val="009711AC"/>
    <w:rsid w:val="00971654"/>
    <w:rsid w:val="00971719"/>
    <w:rsid w:val="009719AB"/>
    <w:rsid w:val="00971C22"/>
    <w:rsid w:val="00972019"/>
    <w:rsid w:val="00972A3D"/>
    <w:rsid w:val="0097312E"/>
    <w:rsid w:val="00973875"/>
    <w:rsid w:val="00973980"/>
    <w:rsid w:val="00973BD5"/>
    <w:rsid w:val="009749B9"/>
    <w:rsid w:val="00974A28"/>
    <w:rsid w:val="009761C1"/>
    <w:rsid w:val="0097628A"/>
    <w:rsid w:val="0097689A"/>
    <w:rsid w:val="00976B0C"/>
    <w:rsid w:val="00976B5E"/>
    <w:rsid w:val="00976F54"/>
    <w:rsid w:val="00977047"/>
    <w:rsid w:val="009776A9"/>
    <w:rsid w:val="00977E54"/>
    <w:rsid w:val="00980283"/>
    <w:rsid w:val="00980740"/>
    <w:rsid w:val="009810A2"/>
    <w:rsid w:val="00981508"/>
    <w:rsid w:val="00981D9F"/>
    <w:rsid w:val="009834AD"/>
    <w:rsid w:val="009835A9"/>
    <w:rsid w:val="0098361B"/>
    <w:rsid w:val="00983766"/>
    <w:rsid w:val="009840C0"/>
    <w:rsid w:val="00984A7D"/>
    <w:rsid w:val="0098502B"/>
    <w:rsid w:val="00985746"/>
    <w:rsid w:val="00985921"/>
    <w:rsid w:val="0098596B"/>
    <w:rsid w:val="00986D27"/>
    <w:rsid w:val="00987274"/>
    <w:rsid w:val="00987D78"/>
    <w:rsid w:val="00987DCB"/>
    <w:rsid w:val="00990360"/>
    <w:rsid w:val="009907E6"/>
    <w:rsid w:val="00990E36"/>
    <w:rsid w:val="00991EE4"/>
    <w:rsid w:val="00992272"/>
    <w:rsid w:val="009922F3"/>
    <w:rsid w:val="0099233C"/>
    <w:rsid w:val="0099250D"/>
    <w:rsid w:val="00992698"/>
    <w:rsid w:val="0099273B"/>
    <w:rsid w:val="00992B14"/>
    <w:rsid w:val="00992FC2"/>
    <w:rsid w:val="0099309F"/>
    <w:rsid w:val="009937EE"/>
    <w:rsid w:val="00993F06"/>
    <w:rsid w:val="0099532E"/>
    <w:rsid w:val="00995EF8"/>
    <w:rsid w:val="00996044"/>
    <w:rsid w:val="0099648C"/>
    <w:rsid w:val="00997DCC"/>
    <w:rsid w:val="009A0127"/>
    <w:rsid w:val="009A0ED0"/>
    <w:rsid w:val="009A0F92"/>
    <w:rsid w:val="009A1059"/>
    <w:rsid w:val="009A14F5"/>
    <w:rsid w:val="009A1910"/>
    <w:rsid w:val="009A265E"/>
    <w:rsid w:val="009A2680"/>
    <w:rsid w:val="009A2A84"/>
    <w:rsid w:val="009A2D13"/>
    <w:rsid w:val="009A3F4A"/>
    <w:rsid w:val="009A463A"/>
    <w:rsid w:val="009A4DF7"/>
    <w:rsid w:val="009A52DD"/>
    <w:rsid w:val="009A5C72"/>
    <w:rsid w:val="009A63F1"/>
    <w:rsid w:val="009A66AD"/>
    <w:rsid w:val="009A6DC0"/>
    <w:rsid w:val="009A70FA"/>
    <w:rsid w:val="009A74A9"/>
    <w:rsid w:val="009B024E"/>
    <w:rsid w:val="009B0540"/>
    <w:rsid w:val="009B12C3"/>
    <w:rsid w:val="009B13B4"/>
    <w:rsid w:val="009B149E"/>
    <w:rsid w:val="009B174E"/>
    <w:rsid w:val="009B1880"/>
    <w:rsid w:val="009B2123"/>
    <w:rsid w:val="009B2464"/>
    <w:rsid w:val="009B28F6"/>
    <w:rsid w:val="009B2FDD"/>
    <w:rsid w:val="009B324E"/>
    <w:rsid w:val="009B3966"/>
    <w:rsid w:val="009B421A"/>
    <w:rsid w:val="009B461A"/>
    <w:rsid w:val="009B5203"/>
    <w:rsid w:val="009B5964"/>
    <w:rsid w:val="009B6165"/>
    <w:rsid w:val="009B65AC"/>
    <w:rsid w:val="009B6F78"/>
    <w:rsid w:val="009B7116"/>
    <w:rsid w:val="009B73CE"/>
    <w:rsid w:val="009B74ED"/>
    <w:rsid w:val="009B76EC"/>
    <w:rsid w:val="009B77C9"/>
    <w:rsid w:val="009B7F50"/>
    <w:rsid w:val="009B7F56"/>
    <w:rsid w:val="009B7F91"/>
    <w:rsid w:val="009C0F2F"/>
    <w:rsid w:val="009C11F5"/>
    <w:rsid w:val="009C1262"/>
    <w:rsid w:val="009C2035"/>
    <w:rsid w:val="009C207E"/>
    <w:rsid w:val="009C2C23"/>
    <w:rsid w:val="009C2F74"/>
    <w:rsid w:val="009C311E"/>
    <w:rsid w:val="009C32E8"/>
    <w:rsid w:val="009C38E4"/>
    <w:rsid w:val="009C47D2"/>
    <w:rsid w:val="009C480F"/>
    <w:rsid w:val="009C4AE3"/>
    <w:rsid w:val="009C4DBC"/>
    <w:rsid w:val="009C4E62"/>
    <w:rsid w:val="009C4EB3"/>
    <w:rsid w:val="009C5001"/>
    <w:rsid w:val="009C5894"/>
    <w:rsid w:val="009C610D"/>
    <w:rsid w:val="009C655C"/>
    <w:rsid w:val="009C6FF4"/>
    <w:rsid w:val="009C7C73"/>
    <w:rsid w:val="009D007C"/>
    <w:rsid w:val="009D012A"/>
    <w:rsid w:val="009D144E"/>
    <w:rsid w:val="009D1605"/>
    <w:rsid w:val="009D1FCB"/>
    <w:rsid w:val="009D30A8"/>
    <w:rsid w:val="009D3107"/>
    <w:rsid w:val="009D3FCB"/>
    <w:rsid w:val="009D4601"/>
    <w:rsid w:val="009D4878"/>
    <w:rsid w:val="009D495F"/>
    <w:rsid w:val="009D4C22"/>
    <w:rsid w:val="009D4DDA"/>
    <w:rsid w:val="009D5158"/>
    <w:rsid w:val="009D5C5F"/>
    <w:rsid w:val="009D5DE6"/>
    <w:rsid w:val="009D5FE3"/>
    <w:rsid w:val="009D69E9"/>
    <w:rsid w:val="009D6D09"/>
    <w:rsid w:val="009D6DB0"/>
    <w:rsid w:val="009E0459"/>
    <w:rsid w:val="009E09C4"/>
    <w:rsid w:val="009E0A3E"/>
    <w:rsid w:val="009E159E"/>
    <w:rsid w:val="009E2178"/>
    <w:rsid w:val="009E2300"/>
    <w:rsid w:val="009E2370"/>
    <w:rsid w:val="009E2808"/>
    <w:rsid w:val="009E3649"/>
    <w:rsid w:val="009E42E0"/>
    <w:rsid w:val="009E4A9D"/>
    <w:rsid w:val="009E4F8B"/>
    <w:rsid w:val="009E52D5"/>
    <w:rsid w:val="009E5B21"/>
    <w:rsid w:val="009E66E3"/>
    <w:rsid w:val="009E69A6"/>
    <w:rsid w:val="009E6AF9"/>
    <w:rsid w:val="009E75F4"/>
    <w:rsid w:val="009E7DE5"/>
    <w:rsid w:val="009F027A"/>
    <w:rsid w:val="009F1475"/>
    <w:rsid w:val="009F1540"/>
    <w:rsid w:val="009F15E4"/>
    <w:rsid w:val="009F1AA8"/>
    <w:rsid w:val="009F1BD7"/>
    <w:rsid w:val="009F1FCB"/>
    <w:rsid w:val="009F2603"/>
    <w:rsid w:val="009F2D98"/>
    <w:rsid w:val="009F365E"/>
    <w:rsid w:val="009F3BA3"/>
    <w:rsid w:val="009F4581"/>
    <w:rsid w:val="009F597C"/>
    <w:rsid w:val="009F606A"/>
    <w:rsid w:val="009F61AD"/>
    <w:rsid w:val="009F6265"/>
    <w:rsid w:val="009F646B"/>
    <w:rsid w:val="009F6740"/>
    <w:rsid w:val="009F67C6"/>
    <w:rsid w:val="009F6AB5"/>
    <w:rsid w:val="009F741C"/>
    <w:rsid w:val="009F7672"/>
    <w:rsid w:val="009F7777"/>
    <w:rsid w:val="009F791E"/>
    <w:rsid w:val="009F7E9A"/>
    <w:rsid w:val="009F7F44"/>
    <w:rsid w:val="00A00206"/>
    <w:rsid w:val="00A0060F"/>
    <w:rsid w:val="00A00788"/>
    <w:rsid w:val="00A01001"/>
    <w:rsid w:val="00A014C6"/>
    <w:rsid w:val="00A02394"/>
    <w:rsid w:val="00A02EFD"/>
    <w:rsid w:val="00A04F83"/>
    <w:rsid w:val="00A0515D"/>
    <w:rsid w:val="00A05892"/>
    <w:rsid w:val="00A05A38"/>
    <w:rsid w:val="00A05DEE"/>
    <w:rsid w:val="00A05E35"/>
    <w:rsid w:val="00A05E95"/>
    <w:rsid w:val="00A06250"/>
    <w:rsid w:val="00A06477"/>
    <w:rsid w:val="00A0651B"/>
    <w:rsid w:val="00A06922"/>
    <w:rsid w:val="00A06DBF"/>
    <w:rsid w:val="00A0749B"/>
    <w:rsid w:val="00A07CD1"/>
    <w:rsid w:val="00A10FA7"/>
    <w:rsid w:val="00A12086"/>
    <w:rsid w:val="00A123E1"/>
    <w:rsid w:val="00A12B30"/>
    <w:rsid w:val="00A12DFF"/>
    <w:rsid w:val="00A13339"/>
    <w:rsid w:val="00A136D6"/>
    <w:rsid w:val="00A13FDE"/>
    <w:rsid w:val="00A1421C"/>
    <w:rsid w:val="00A14453"/>
    <w:rsid w:val="00A147F8"/>
    <w:rsid w:val="00A1594A"/>
    <w:rsid w:val="00A15CD5"/>
    <w:rsid w:val="00A15D6F"/>
    <w:rsid w:val="00A16939"/>
    <w:rsid w:val="00A16C0E"/>
    <w:rsid w:val="00A16D3B"/>
    <w:rsid w:val="00A16DB0"/>
    <w:rsid w:val="00A1765F"/>
    <w:rsid w:val="00A1776A"/>
    <w:rsid w:val="00A1783F"/>
    <w:rsid w:val="00A17DBB"/>
    <w:rsid w:val="00A203D1"/>
    <w:rsid w:val="00A2104A"/>
    <w:rsid w:val="00A2132E"/>
    <w:rsid w:val="00A21928"/>
    <w:rsid w:val="00A21C09"/>
    <w:rsid w:val="00A22FF9"/>
    <w:rsid w:val="00A23BF8"/>
    <w:rsid w:val="00A24025"/>
    <w:rsid w:val="00A2451B"/>
    <w:rsid w:val="00A24F57"/>
    <w:rsid w:val="00A251EF"/>
    <w:rsid w:val="00A254E9"/>
    <w:rsid w:val="00A25561"/>
    <w:rsid w:val="00A261B5"/>
    <w:rsid w:val="00A262A8"/>
    <w:rsid w:val="00A26984"/>
    <w:rsid w:val="00A26AFA"/>
    <w:rsid w:val="00A26C45"/>
    <w:rsid w:val="00A26CE8"/>
    <w:rsid w:val="00A3012C"/>
    <w:rsid w:val="00A305FE"/>
    <w:rsid w:val="00A307B4"/>
    <w:rsid w:val="00A30DA1"/>
    <w:rsid w:val="00A3146E"/>
    <w:rsid w:val="00A31799"/>
    <w:rsid w:val="00A32E9B"/>
    <w:rsid w:val="00A334DB"/>
    <w:rsid w:val="00A33618"/>
    <w:rsid w:val="00A338EC"/>
    <w:rsid w:val="00A33A0E"/>
    <w:rsid w:val="00A34033"/>
    <w:rsid w:val="00A346E9"/>
    <w:rsid w:val="00A346FC"/>
    <w:rsid w:val="00A34A82"/>
    <w:rsid w:val="00A35AD4"/>
    <w:rsid w:val="00A35EAF"/>
    <w:rsid w:val="00A36882"/>
    <w:rsid w:val="00A3753A"/>
    <w:rsid w:val="00A409A8"/>
    <w:rsid w:val="00A4119E"/>
    <w:rsid w:val="00A41504"/>
    <w:rsid w:val="00A4195A"/>
    <w:rsid w:val="00A41F39"/>
    <w:rsid w:val="00A42088"/>
    <w:rsid w:val="00A42500"/>
    <w:rsid w:val="00A4251F"/>
    <w:rsid w:val="00A429FB"/>
    <w:rsid w:val="00A43084"/>
    <w:rsid w:val="00A43118"/>
    <w:rsid w:val="00A43810"/>
    <w:rsid w:val="00A43C05"/>
    <w:rsid w:val="00A44F7D"/>
    <w:rsid w:val="00A45280"/>
    <w:rsid w:val="00A45855"/>
    <w:rsid w:val="00A45CA1"/>
    <w:rsid w:val="00A4627B"/>
    <w:rsid w:val="00A47012"/>
    <w:rsid w:val="00A47A9C"/>
    <w:rsid w:val="00A50422"/>
    <w:rsid w:val="00A50439"/>
    <w:rsid w:val="00A5079B"/>
    <w:rsid w:val="00A507E6"/>
    <w:rsid w:val="00A50A4F"/>
    <w:rsid w:val="00A50B58"/>
    <w:rsid w:val="00A510F8"/>
    <w:rsid w:val="00A512C1"/>
    <w:rsid w:val="00A51D72"/>
    <w:rsid w:val="00A51DE6"/>
    <w:rsid w:val="00A51F27"/>
    <w:rsid w:val="00A53071"/>
    <w:rsid w:val="00A535ED"/>
    <w:rsid w:val="00A54855"/>
    <w:rsid w:val="00A54BA6"/>
    <w:rsid w:val="00A5553A"/>
    <w:rsid w:val="00A55D1B"/>
    <w:rsid w:val="00A5690C"/>
    <w:rsid w:val="00A56E58"/>
    <w:rsid w:val="00A56F81"/>
    <w:rsid w:val="00A60385"/>
    <w:rsid w:val="00A6168B"/>
    <w:rsid w:val="00A61B84"/>
    <w:rsid w:val="00A61E49"/>
    <w:rsid w:val="00A61F50"/>
    <w:rsid w:val="00A62027"/>
    <w:rsid w:val="00A62DC5"/>
    <w:rsid w:val="00A62EF7"/>
    <w:rsid w:val="00A631A6"/>
    <w:rsid w:val="00A63A8B"/>
    <w:rsid w:val="00A63F01"/>
    <w:rsid w:val="00A64E50"/>
    <w:rsid w:val="00A65693"/>
    <w:rsid w:val="00A6571D"/>
    <w:rsid w:val="00A6582D"/>
    <w:rsid w:val="00A65A02"/>
    <w:rsid w:val="00A66AA4"/>
    <w:rsid w:val="00A67532"/>
    <w:rsid w:val="00A679E5"/>
    <w:rsid w:val="00A67E72"/>
    <w:rsid w:val="00A67F4D"/>
    <w:rsid w:val="00A70254"/>
    <w:rsid w:val="00A707E1"/>
    <w:rsid w:val="00A718E4"/>
    <w:rsid w:val="00A71C49"/>
    <w:rsid w:val="00A728FF"/>
    <w:rsid w:val="00A72959"/>
    <w:rsid w:val="00A72F55"/>
    <w:rsid w:val="00A72F80"/>
    <w:rsid w:val="00A72FE9"/>
    <w:rsid w:val="00A73BE3"/>
    <w:rsid w:val="00A7404C"/>
    <w:rsid w:val="00A74F6A"/>
    <w:rsid w:val="00A7662E"/>
    <w:rsid w:val="00A76750"/>
    <w:rsid w:val="00A767F0"/>
    <w:rsid w:val="00A769C3"/>
    <w:rsid w:val="00A7790A"/>
    <w:rsid w:val="00A77B3E"/>
    <w:rsid w:val="00A77D03"/>
    <w:rsid w:val="00A8004C"/>
    <w:rsid w:val="00A81336"/>
    <w:rsid w:val="00A81C8A"/>
    <w:rsid w:val="00A823DA"/>
    <w:rsid w:val="00A83201"/>
    <w:rsid w:val="00A83BA1"/>
    <w:rsid w:val="00A83F14"/>
    <w:rsid w:val="00A84E40"/>
    <w:rsid w:val="00A8568E"/>
    <w:rsid w:val="00A85795"/>
    <w:rsid w:val="00A85A21"/>
    <w:rsid w:val="00A85A7D"/>
    <w:rsid w:val="00A85B7E"/>
    <w:rsid w:val="00A86687"/>
    <w:rsid w:val="00A86CB5"/>
    <w:rsid w:val="00A8730B"/>
    <w:rsid w:val="00A873E8"/>
    <w:rsid w:val="00A875C4"/>
    <w:rsid w:val="00A87898"/>
    <w:rsid w:val="00A90349"/>
    <w:rsid w:val="00A90493"/>
    <w:rsid w:val="00A905E8"/>
    <w:rsid w:val="00A90631"/>
    <w:rsid w:val="00A90FE9"/>
    <w:rsid w:val="00A9179A"/>
    <w:rsid w:val="00A920EE"/>
    <w:rsid w:val="00A929F4"/>
    <w:rsid w:val="00A93597"/>
    <w:rsid w:val="00A93B31"/>
    <w:rsid w:val="00A945A6"/>
    <w:rsid w:val="00A94978"/>
    <w:rsid w:val="00A953A2"/>
    <w:rsid w:val="00A95783"/>
    <w:rsid w:val="00A958AC"/>
    <w:rsid w:val="00A9593A"/>
    <w:rsid w:val="00A95F65"/>
    <w:rsid w:val="00A962BD"/>
    <w:rsid w:val="00A96E44"/>
    <w:rsid w:val="00A96E5C"/>
    <w:rsid w:val="00A970AE"/>
    <w:rsid w:val="00A978CA"/>
    <w:rsid w:val="00A97BBA"/>
    <w:rsid w:val="00AA0204"/>
    <w:rsid w:val="00AA121A"/>
    <w:rsid w:val="00AA1455"/>
    <w:rsid w:val="00AA224B"/>
    <w:rsid w:val="00AA2883"/>
    <w:rsid w:val="00AA2D8E"/>
    <w:rsid w:val="00AA2EDE"/>
    <w:rsid w:val="00AA3AAB"/>
    <w:rsid w:val="00AA3D6F"/>
    <w:rsid w:val="00AA42FC"/>
    <w:rsid w:val="00AA4A2D"/>
    <w:rsid w:val="00AA4C4D"/>
    <w:rsid w:val="00AA4E9E"/>
    <w:rsid w:val="00AA5475"/>
    <w:rsid w:val="00AA54E6"/>
    <w:rsid w:val="00AA5F82"/>
    <w:rsid w:val="00AA5F95"/>
    <w:rsid w:val="00AA623F"/>
    <w:rsid w:val="00AA6355"/>
    <w:rsid w:val="00AA6973"/>
    <w:rsid w:val="00AA7252"/>
    <w:rsid w:val="00AA7253"/>
    <w:rsid w:val="00AA7636"/>
    <w:rsid w:val="00AA7A17"/>
    <w:rsid w:val="00AB0512"/>
    <w:rsid w:val="00AB1D5A"/>
    <w:rsid w:val="00AB1FAC"/>
    <w:rsid w:val="00AB2344"/>
    <w:rsid w:val="00AB32BF"/>
    <w:rsid w:val="00AB3789"/>
    <w:rsid w:val="00AB3AD8"/>
    <w:rsid w:val="00AB457C"/>
    <w:rsid w:val="00AB4B75"/>
    <w:rsid w:val="00AB4C85"/>
    <w:rsid w:val="00AB4CF0"/>
    <w:rsid w:val="00AB5399"/>
    <w:rsid w:val="00AB7526"/>
    <w:rsid w:val="00AB7DB8"/>
    <w:rsid w:val="00AC01B5"/>
    <w:rsid w:val="00AC0673"/>
    <w:rsid w:val="00AC13CC"/>
    <w:rsid w:val="00AC1876"/>
    <w:rsid w:val="00AC2372"/>
    <w:rsid w:val="00AC23E3"/>
    <w:rsid w:val="00AC29BA"/>
    <w:rsid w:val="00AC3062"/>
    <w:rsid w:val="00AC38C4"/>
    <w:rsid w:val="00AC46D0"/>
    <w:rsid w:val="00AC473F"/>
    <w:rsid w:val="00AC4763"/>
    <w:rsid w:val="00AC4E0C"/>
    <w:rsid w:val="00AC6ABA"/>
    <w:rsid w:val="00AC6DA9"/>
    <w:rsid w:val="00AC7D6B"/>
    <w:rsid w:val="00AD12A7"/>
    <w:rsid w:val="00AD170F"/>
    <w:rsid w:val="00AD1ACE"/>
    <w:rsid w:val="00AD1F5E"/>
    <w:rsid w:val="00AD2445"/>
    <w:rsid w:val="00AD2602"/>
    <w:rsid w:val="00AD300F"/>
    <w:rsid w:val="00AD346D"/>
    <w:rsid w:val="00AD3C80"/>
    <w:rsid w:val="00AD4529"/>
    <w:rsid w:val="00AD5E7E"/>
    <w:rsid w:val="00AD650A"/>
    <w:rsid w:val="00AD6A6D"/>
    <w:rsid w:val="00AD76E1"/>
    <w:rsid w:val="00AD7D4F"/>
    <w:rsid w:val="00AE052E"/>
    <w:rsid w:val="00AE0BE0"/>
    <w:rsid w:val="00AE1032"/>
    <w:rsid w:val="00AE144D"/>
    <w:rsid w:val="00AE1846"/>
    <w:rsid w:val="00AE210C"/>
    <w:rsid w:val="00AE2662"/>
    <w:rsid w:val="00AE2772"/>
    <w:rsid w:val="00AE2EF3"/>
    <w:rsid w:val="00AE373F"/>
    <w:rsid w:val="00AE3CAF"/>
    <w:rsid w:val="00AE4B20"/>
    <w:rsid w:val="00AE4D0F"/>
    <w:rsid w:val="00AE4E03"/>
    <w:rsid w:val="00AE5781"/>
    <w:rsid w:val="00AE6394"/>
    <w:rsid w:val="00AE6921"/>
    <w:rsid w:val="00AE6F0B"/>
    <w:rsid w:val="00AE7B99"/>
    <w:rsid w:val="00AF04DB"/>
    <w:rsid w:val="00AF04DF"/>
    <w:rsid w:val="00AF05E6"/>
    <w:rsid w:val="00AF121E"/>
    <w:rsid w:val="00AF1A1C"/>
    <w:rsid w:val="00AF26D5"/>
    <w:rsid w:val="00AF2AC3"/>
    <w:rsid w:val="00AF2B94"/>
    <w:rsid w:val="00AF2CB4"/>
    <w:rsid w:val="00AF2E62"/>
    <w:rsid w:val="00AF351D"/>
    <w:rsid w:val="00AF37FC"/>
    <w:rsid w:val="00AF38D7"/>
    <w:rsid w:val="00AF3940"/>
    <w:rsid w:val="00AF3BBF"/>
    <w:rsid w:val="00AF4471"/>
    <w:rsid w:val="00AF44FA"/>
    <w:rsid w:val="00AF5734"/>
    <w:rsid w:val="00AF5E53"/>
    <w:rsid w:val="00AF6400"/>
    <w:rsid w:val="00AF662C"/>
    <w:rsid w:val="00AF6765"/>
    <w:rsid w:val="00AF72EA"/>
    <w:rsid w:val="00AF7764"/>
    <w:rsid w:val="00AF7D55"/>
    <w:rsid w:val="00AF7D93"/>
    <w:rsid w:val="00B000B9"/>
    <w:rsid w:val="00B00145"/>
    <w:rsid w:val="00B00686"/>
    <w:rsid w:val="00B00B68"/>
    <w:rsid w:val="00B019EB"/>
    <w:rsid w:val="00B01AC5"/>
    <w:rsid w:val="00B0213D"/>
    <w:rsid w:val="00B024FF"/>
    <w:rsid w:val="00B02511"/>
    <w:rsid w:val="00B02A82"/>
    <w:rsid w:val="00B03C84"/>
    <w:rsid w:val="00B0498F"/>
    <w:rsid w:val="00B04A39"/>
    <w:rsid w:val="00B04FEE"/>
    <w:rsid w:val="00B05549"/>
    <w:rsid w:val="00B057E3"/>
    <w:rsid w:val="00B05F38"/>
    <w:rsid w:val="00B062A4"/>
    <w:rsid w:val="00B0634F"/>
    <w:rsid w:val="00B064FE"/>
    <w:rsid w:val="00B075B7"/>
    <w:rsid w:val="00B07E00"/>
    <w:rsid w:val="00B1102D"/>
    <w:rsid w:val="00B1143A"/>
    <w:rsid w:val="00B11B5D"/>
    <w:rsid w:val="00B11BF1"/>
    <w:rsid w:val="00B1227A"/>
    <w:rsid w:val="00B12767"/>
    <w:rsid w:val="00B128A4"/>
    <w:rsid w:val="00B13579"/>
    <w:rsid w:val="00B1376B"/>
    <w:rsid w:val="00B13A2D"/>
    <w:rsid w:val="00B13EC5"/>
    <w:rsid w:val="00B13FB6"/>
    <w:rsid w:val="00B1410D"/>
    <w:rsid w:val="00B1480B"/>
    <w:rsid w:val="00B154A5"/>
    <w:rsid w:val="00B15CFB"/>
    <w:rsid w:val="00B16155"/>
    <w:rsid w:val="00B168DE"/>
    <w:rsid w:val="00B17690"/>
    <w:rsid w:val="00B17B9E"/>
    <w:rsid w:val="00B17CE6"/>
    <w:rsid w:val="00B20B47"/>
    <w:rsid w:val="00B20C99"/>
    <w:rsid w:val="00B20CB4"/>
    <w:rsid w:val="00B21AA0"/>
    <w:rsid w:val="00B21C78"/>
    <w:rsid w:val="00B21E7C"/>
    <w:rsid w:val="00B228C8"/>
    <w:rsid w:val="00B22AFE"/>
    <w:rsid w:val="00B243AF"/>
    <w:rsid w:val="00B2508E"/>
    <w:rsid w:val="00B2555F"/>
    <w:rsid w:val="00B25632"/>
    <w:rsid w:val="00B25B20"/>
    <w:rsid w:val="00B26911"/>
    <w:rsid w:val="00B269DF"/>
    <w:rsid w:val="00B27605"/>
    <w:rsid w:val="00B27CFC"/>
    <w:rsid w:val="00B27F02"/>
    <w:rsid w:val="00B30F93"/>
    <w:rsid w:val="00B3104B"/>
    <w:rsid w:val="00B32B6C"/>
    <w:rsid w:val="00B338B9"/>
    <w:rsid w:val="00B34517"/>
    <w:rsid w:val="00B35806"/>
    <w:rsid w:val="00B35AB9"/>
    <w:rsid w:val="00B35BD1"/>
    <w:rsid w:val="00B3607E"/>
    <w:rsid w:val="00B3646E"/>
    <w:rsid w:val="00B36557"/>
    <w:rsid w:val="00B3658E"/>
    <w:rsid w:val="00B3674E"/>
    <w:rsid w:val="00B36B47"/>
    <w:rsid w:val="00B36D40"/>
    <w:rsid w:val="00B375F8"/>
    <w:rsid w:val="00B37692"/>
    <w:rsid w:val="00B3778A"/>
    <w:rsid w:val="00B407FF"/>
    <w:rsid w:val="00B41DB2"/>
    <w:rsid w:val="00B42CA3"/>
    <w:rsid w:val="00B42D5E"/>
    <w:rsid w:val="00B42D82"/>
    <w:rsid w:val="00B430E9"/>
    <w:rsid w:val="00B43DD2"/>
    <w:rsid w:val="00B43EC4"/>
    <w:rsid w:val="00B44A58"/>
    <w:rsid w:val="00B44B73"/>
    <w:rsid w:val="00B44EC7"/>
    <w:rsid w:val="00B4596D"/>
    <w:rsid w:val="00B463F3"/>
    <w:rsid w:val="00B47280"/>
    <w:rsid w:val="00B47723"/>
    <w:rsid w:val="00B479B7"/>
    <w:rsid w:val="00B47BC2"/>
    <w:rsid w:val="00B47C4A"/>
    <w:rsid w:val="00B47F65"/>
    <w:rsid w:val="00B5015D"/>
    <w:rsid w:val="00B50B8A"/>
    <w:rsid w:val="00B51027"/>
    <w:rsid w:val="00B516D9"/>
    <w:rsid w:val="00B51854"/>
    <w:rsid w:val="00B51BB9"/>
    <w:rsid w:val="00B51E1B"/>
    <w:rsid w:val="00B52797"/>
    <w:rsid w:val="00B52B88"/>
    <w:rsid w:val="00B5350E"/>
    <w:rsid w:val="00B53867"/>
    <w:rsid w:val="00B53AB1"/>
    <w:rsid w:val="00B53B31"/>
    <w:rsid w:val="00B54F23"/>
    <w:rsid w:val="00B55328"/>
    <w:rsid w:val="00B555C5"/>
    <w:rsid w:val="00B55C52"/>
    <w:rsid w:val="00B56270"/>
    <w:rsid w:val="00B56DD6"/>
    <w:rsid w:val="00B601D7"/>
    <w:rsid w:val="00B60313"/>
    <w:rsid w:val="00B6042E"/>
    <w:rsid w:val="00B6054E"/>
    <w:rsid w:val="00B6134A"/>
    <w:rsid w:val="00B61529"/>
    <w:rsid w:val="00B6221D"/>
    <w:rsid w:val="00B6277D"/>
    <w:rsid w:val="00B629FA"/>
    <w:rsid w:val="00B62A5E"/>
    <w:rsid w:val="00B62ED9"/>
    <w:rsid w:val="00B6302F"/>
    <w:rsid w:val="00B6427F"/>
    <w:rsid w:val="00B644C5"/>
    <w:rsid w:val="00B6498B"/>
    <w:rsid w:val="00B65101"/>
    <w:rsid w:val="00B667C1"/>
    <w:rsid w:val="00B67455"/>
    <w:rsid w:val="00B6781F"/>
    <w:rsid w:val="00B7011E"/>
    <w:rsid w:val="00B701B3"/>
    <w:rsid w:val="00B71C71"/>
    <w:rsid w:val="00B721DD"/>
    <w:rsid w:val="00B72B42"/>
    <w:rsid w:val="00B72CC5"/>
    <w:rsid w:val="00B731DD"/>
    <w:rsid w:val="00B75271"/>
    <w:rsid w:val="00B75982"/>
    <w:rsid w:val="00B75994"/>
    <w:rsid w:val="00B769F7"/>
    <w:rsid w:val="00B76FC0"/>
    <w:rsid w:val="00B77595"/>
    <w:rsid w:val="00B777B0"/>
    <w:rsid w:val="00B7796D"/>
    <w:rsid w:val="00B8093D"/>
    <w:rsid w:val="00B81766"/>
    <w:rsid w:val="00B81B29"/>
    <w:rsid w:val="00B82208"/>
    <w:rsid w:val="00B83BE8"/>
    <w:rsid w:val="00B85DD1"/>
    <w:rsid w:val="00B85E06"/>
    <w:rsid w:val="00B86357"/>
    <w:rsid w:val="00B86BD2"/>
    <w:rsid w:val="00B86C74"/>
    <w:rsid w:val="00B870C6"/>
    <w:rsid w:val="00B87210"/>
    <w:rsid w:val="00B902C0"/>
    <w:rsid w:val="00B9206C"/>
    <w:rsid w:val="00B92153"/>
    <w:rsid w:val="00B92364"/>
    <w:rsid w:val="00B92D88"/>
    <w:rsid w:val="00B92DCD"/>
    <w:rsid w:val="00B92E46"/>
    <w:rsid w:val="00B92E74"/>
    <w:rsid w:val="00B93650"/>
    <w:rsid w:val="00B93DEC"/>
    <w:rsid w:val="00B94587"/>
    <w:rsid w:val="00B9495F"/>
    <w:rsid w:val="00B94F15"/>
    <w:rsid w:val="00B956DF"/>
    <w:rsid w:val="00B95C0C"/>
    <w:rsid w:val="00B95E4F"/>
    <w:rsid w:val="00B96887"/>
    <w:rsid w:val="00B9743E"/>
    <w:rsid w:val="00B97474"/>
    <w:rsid w:val="00B97886"/>
    <w:rsid w:val="00B97BA0"/>
    <w:rsid w:val="00BA0239"/>
    <w:rsid w:val="00BA0610"/>
    <w:rsid w:val="00BA16CE"/>
    <w:rsid w:val="00BA2E78"/>
    <w:rsid w:val="00BA3050"/>
    <w:rsid w:val="00BA4536"/>
    <w:rsid w:val="00BA48F8"/>
    <w:rsid w:val="00BA4DC8"/>
    <w:rsid w:val="00BA4E26"/>
    <w:rsid w:val="00BA5933"/>
    <w:rsid w:val="00BA5CD7"/>
    <w:rsid w:val="00BA5D94"/>
    <w:rsid w:val="00BA638A"/>
    <w:rsid w:val="00BA6678"/>
    <w:rsid w:val="00BA68FA"/>
    <w:rsid w:val="00BA6E1C"/>
    <w:rsid w:val="00BA744A"/>
    <w:rsid w:val="00BA74CD"/>
    <w:rsid w:val="00BA7867"/>
    <w:rsid w:val="00BA7E54"/>
    <w:rsid w:val="00BB0200"/>
    <w:rsid w:val="00BB027E"/>
    <w:rsid w:val="00BB051E"/>
    <w:rsid w:val="00BB05B0"/>
    <w:rsid w:val="00BB0974"/>
    <w:rsid w:val="00BB0FBC"/>
    <w:rsid w:val="00BB1250"/>
    <w:rsid w:val="00BB1A9C"/>
    <w:rsid w:val="00BB1F67"/>
    <w:rsid w:val="00BB2436"/>
    <w:rsid w:val="00BB2A9E"/>
    <w:rsid w:val="00BB2BD8"/>
    <w:rsid w:val="00BB36DC"/>
    <w:rsid w:val="00BB39E5"/>
    <w:rsid w:val="00BB4B51"/>
    <w:rsid w:val="00BB57A8"/>
    <w:rsid w:val="00BB5A13"/>
    <w:rsid w:val="00BB60F6"/>
    <w:rsid w:val="00BB6EA9"/>
    <w:rsid w:val="00BB77B0"/>
    <w:rsid w:val="00BB7E6F"/>
    <w:rsid w:val="00BC098E"/>
    <w:rsid w:val="00BC0A74"/>
    <w:rsid w:val="00BC0CBD"/>
    <w:rsid w:val="00BC13CA"/>
    <w:rsid w:val="00BC1560"/>
    <w:rsid w:val="00BC248B"/>
    <w:rsid w:val="00BC2C7C"/>
    <w:rsid w:val="00BC2E71"/>
    <w:rsid w:val="00BC3000"/>
    <w:rsid w:val="00BC3286"/>
    <w:rsid w:val="00BC35E9"/>
    <w:rsid w:val="00BC40C1"/>
    <w:rsid w:val="00BC412D"/>
    <w:rsid w:val="00BC58B4"/>
    <w:rsid w:val="00BC5CA7"/>
    <w:rsid w:val="00BC5EC3"/>
    <w:rsid w:val="00BC62B1"/>
    <w:rsid w:val="00BC6684"/>
    <w:rsid w:val="00BC6F22"/>
    <w:rsid w:val="00BD00AB"/>
    <w:rsid w:val="00BD1009"/>
    <w:rsid w:val="00BD1719"/>
    <w:rsid w:val="00BD17F5"/>
    <w:rsid w:val="00BD1BA4"/>
    <w:rsid w:val="00BD2603"/>
    <w:rsid w:val="00BD2FFF"/>
    <w:rsid w:val="00BD333B"/>
    <w:rsid w:val="00BD3347"/>
    <w:rsid w:val="00BD3441"/>
    <w:rsid w:val="00BD36E3"/>
    <w:rsid w:val="00BD5253"/>
    <w:rsid w:val="00BD596F"/>
    <w:rsid w:val="00BD5C3E"/>
    <w:rsid w:val="00BD5CDF"/>
    <w:rsid w:val="00BD6004"/>
    <w:rsid w:val="00BD6372"/>
    <w:rsid w:val="00BD64B6"/>
    <w:rsid w:val="00BD6E88"/>
    <w:rsid w:val="00BD7ECE"/>
    <w:rsid w:val="00BD7FF1"/>
    <w:rsid w:val="00BE16B8"/>
    <w:rsid w:val="00BE203C"/>
    <w:rsid w:val="00BE2776"/>
    <w:rsid w:val="00BE2F83"/>
    <w:rsid w:val="00BE3977"/>
    <w:rsid w:val="00BE3E97"/>
    <w:rsid w:val="00BE3EA8"/>
    <w:rsid w:val="00BE3FDE"/>
    <w:rsid w:val="00BE40F9"/>
    <w:rsid w:val="00BE46C4"/>
    <w:rsid w:val="00BE46FC"/>
    <w:rsid w:val="00BE4730"/>
    <w:rsid w:val="00BE51E9"/>
    <w:rsid w:val="00BE6326"/>
    <w:rsid w:val="00BE6962"/>
    <w:rsid w:val="00BE6C2F"/>
    <w:rsid w:val="00BE70A9"/>
    <w:rsid w:val="00BE71FC"/>
    <w:rsid w:val="00BE7763"/>
    <w:rsid w:val="00BE7771"/>
    <w:rsid w:val="00BE7938"/>
    <w:rsid w:val="00BE79C6"/>
    <w:rsid w:val="00BF02DB"/>
    <w:rsid w:val="00BF0D39"/>
    <w:rsid w:val="00BF1B84"/>
    <w:rsid w:val="00BF1E67"/>
    <w:rsid w:val="00BF2396"/>
    <w:rsid w:val="00BF283D"/>
    <w:rsid w:val="00BF3EBC"/>
    <w:rsid w:val="00BF538C"/>
    <w:rsid w:val="00BF5498"/>
    <w:rsid w:val="00BF5821"/>
    <w:rsid w:val="00BF5DD7"/>
    <w:rsid w:val="00BF6E91"/>
    <w:rsid w:val="00BF7171"/>
    <w:rsid w:val="00BF7A8D"/>
    <w:rsid w:val="00C006C9"/>
    <w:rsid w:val="00C00C74"/>
    <w:rsid w:val="00C01452"/>
    <w:rsid w:val="00C03B62"/>
    <w:rsid w:val="00C03C96"/>
    <w:rsid w:val="00C0473B"/>
    <w:rsid w:val="00C04A0E"/>
    <w:rsid w:val="00C04F59"/>
    <w:rsid w:val="00C05356"/>
    <w:rsid w:val="00C05406"/>
    <w:rsid w:val="00C05515"/>
    <w:rsid w:val="00C056FE"/>
    <w:rsid w:val="00C0573D"/>
    <w:rsid w:val="00C0578B"/>
    <w:rsid w:val="00C05CA6"/>
    <w:rsid w:val="00C069D3"/>
    <w:rsid w:val="00C06B0F"/>
    <w:rsid w:val="00C06BCF"/>
    <w:rsid w:val="00C06C42"/>
    <w:rsid w:val="00C06E6B"/>
    <w:rsid w:val="00C07A04"/>
    <w:rsid w:val="00C07D80"/>
    <w:rsid w:val="00C101D9"/>
    <w:rsid w:val="00C10468"/>
    <w:rsid w:val="00C108B0"/>
    <w:rsid w:val="00C10CDF"/>
    <w:rsid w:val="00C10D18"/>
    <w:rsid w:val="00C10D2A"/>
    <w:rsid w:val="00C11853"/>
    <w:rsid w:val="00C11997"/>
    <w:rsid w:val="00C12864"/>
    <w:rsid w:val="00C12BF2"/>
    <w:rsid w:val="00C12C7C"/>
    <w:rsid w:val="00C12F5F"/>
    <w:rsid w:val="00C1308F"/>
    <w:rsid w:val="00C130D7"/>
    <w:rsid w:val="00C1327C"/>
    <w:rsid w:val="00C13538"/>
    <w:rsid w:val="00C13855"/>
    <w:rsid w:val="00C13AAD"/>
    <w:rsid w:val="00C1425D"/>
    <w:rsid w:val="00C14A35"/>
    <w:rsid w:val="00C15079"/>
    <w:rsid w:val="00C151DF"/>
    <w:rsid w:val="00C158E4"/>
    <w:rsid w:val="00C1619E"/>
    <w:rsid w:val="00C1676D"/>
    <w:rsid w:val="00C16BEB"/>
    <w:rsid w:val="00C21338"/>
    <w:rsid w:val="00C21C8D"/>
    <w:rsid w:val="00C230A2"/>
    <w:rsid w:val="00C239C1"/>
    <w:rsid w:val="00C23A3E"/>
    <w:rsid w:val="00C23DFE"/>
    <w:rsid w:val="00C24282"/>
    <w:rsid w:val="00C249CB"/>
    <w:rsid w:val="00C24B11"/>
    <w:rsid w:val="00C263A4"/>
    <w:rsid w:val="00C2675B"/>
    <w:rsid w:val="00C27925"/>
    <w:rsid w:val="00C27FDD"/>
    <w:rsid w:val="00C308E5"/>
    <w:rsid w:val="00C31A9D"/>
    <w:rsid w:val="00C31EE6"/>
    <w:rsid w:val="00C32BA9"/>
    <w:rsid w:val="00C32FAC"/>
    <w:rsid w:val="00C33407"/>
    <w:rsid w:val="00C35008"/>
    <w:rsid w:val="00C35B34"/>
    <w:rsid w:val="00C35B92"/>
    <w:rsid w:val="00C35EE0"/>
    <w:rsid w:val="00C362A6"/>
    <w:rsid w:val="00C36385"/>
    <w:rsid w:val="00C36DD6"/>
    <w:rsid w:val="00C375FF"/>
    <w:rsid w:val="00C37F71"/>
    <w:rsid w:val="00C400C1"/>
    <w:rsid w:val="00C4051F"/>
    <w:rsid w:val="00C40845"/>
    <w:rsid w:val="00C41B79"/>
    <w:rsid w:val="00C432B6"/>
    <w:rsid w:val="00C43A08"/>
    <w:rsid w:val="00C43C65"/>
    <w:rsid w:val="00C447EE"/>
    <w:rsid w:val="00C449C7"/>
    <w:rsid w:val="00C45492"/>
    <w:rsid w:val="00C45570"/>
    <w:rsid w:val="00C45DEB"/>
    <w:rsid w:val="00C4620A"/>
    <w:rsid w:val="00C46462"/>
    <w:rsid w:val="00C464C5"/>
    <w:rsid w:val="00C468AD"/>
    <w:rsid w:val="00C46955"/>
    <w:rsid w:val="00C47253"/>
    <w:rsid w:val="00C47588"/>
    <w:rsid w:val="00C47F7A"/>
    <w:rsid w:val="00C507DC"/>
    <w:rsid w:val="00C50972"/>
    <w:rsid w:val="00C50D62"/>
    <w:rsid w:val="00C519E2"/>
    <w:rsid w:val="00C53D6A"/>
    <w:rsid w:val="00C544F4"/>
    <w:rsid w:val="00C54593"/>
    <w:rsid w:val="00C549EE"/>
    <w:rsid w:val="00C54B1A"/>
    <w:rsid w:val="00C55C9E"/>
    <w:rsid w:val="00C5607C"/>
    <w:rsid w:val="00C57535"/>
    <w:rsid w:val="00C57C88"/>
    <w:rsid w:val="00C57E3F"/>
    <w:rsid w:val="00C60449"/>
    <w:rsid w:val="00C60A0B"/>
    <w:rsid w:val="00C613B9"/>
    <w:rsid w:val="00C62279"/>
    <w:rsid w:val="00C6309B"/>
    <w:rsid w:val="00C6376F"/>
    <w:rsid w:val="00C646AF"/>
    <w:rsid w:val="00C649CF"/>
    <w:rsid w:val="00C64C7D"/>
    <w:rsid w:val="00C65B5F"/>
    <w:rsid w:val="00C65E08"/>
    <w:rsid w:val="00C667A8"/>
    <w:rsid w:val="00C672DC"/>
    <w:rsid w:val="00C6738D"/>
    <w:rsid w:val="00C674E7"/>
    <w:rsid w:val="00C67575"/>
    <w:rsid w:val="00C67837"/>
    <w:rsid w:val="00C70DFD"/>
    <w:rsid w:val="00C71CB3"/>
    <w:rsid w:val="00C722BD"/>
    <w:rsid w:val="00C7271A"/>
    <w:rsid w:val="00C72875"/>
    <w:rsid w:val="00C739E8"/>
    <w:rsid w:val="00C7429E"/>
    <w:rsid w:val="00C74DEC"/>
    <w:rsid w:val="00C75E32"/>
    <w:rsid w:val="00C760B4"/>
    <w:rsid w:val="00C76D74"/>
    <w:rsid w:val="00C7721D"/>
    <w:rsid w:val="00C77485"/>
    <w:rsid w:val="00C77D50"/>
    <w:rsid w:val="00C80027"/>
    <w:rsid w:val="00C8097A"/>
    <w:rsid w:val="00C81364"/>
    <w:rsid w:val="00C81490"/>
    <w:rsid w:val="00C8192C"/>
    <w:rsid w:val="00C82210"/>
    <w:rsid w:val="00C82725"/>
    <w:rsid w:val="00C82D8E"/>
    <w:rsid w:val="00C82DD1"/>
    <w:rsid w:val="00C832AA"/>
    <w:rsid w:val="00C839F8"/>
    <w:rsid w:val="00C843F3"/>
    <w:rsid w:val="00C8454B"/>
    <w:rsid w:val="00C845CA"/>
    <w:rsid w:val="00C856FB"/>
    <w:rsid w:val="00C85BF2"/>
    <w:rsid w:val="00C85C0E"/>
    <w:rsid w:val="00C86373"/>
    <w:rsid w:val="00C866A0"/>
    <w:rsid w:val="00C86729"/>
    <w:rsid w:val="00C86965"/>
    <w:rsid w:val="00C86978"/>
    <w:rsid w:val="00C86D02"/>
    <w:rsid w:val="00C87028"/>
    <w:rsid w:val="00C87091"/>
    <w:rsid w:val="00C87725"/>
    <w:rsid w:val="00C906B9"/>
    <w:rsid w:val="00C9084C"/>
    <w:rsid w:val="00C90D22"/>
    <w:rsid w:val="00C90FAD"/>
    <w:rsid w:val="00C90FFD"/>
    <w:rsid w:val="00C91028"/>
    <w:rsid w:val="00C914E2"/>
    <w:rsid w:val="00C91A98"/>
    <w:rsid w:val="00C91D73"/>
    <w:rsid w:val="00C91D9A"/>
    <w:rsid w:val="00C9242F"/>
    <w:rsid w:val="00C92C68"/>
    <w:rsid w:val="00C92FDB"/>
    <w:rsid w:val="00C930DD"/>
    <w:rsid w:val="00C9320C"/>
    <w:rsid w:val="00C933CA"/>
    <w:rsid w:val="00C93C85"/>
    <w:rsid w:val="00C944CE"/>
    <w:rsid w:val="00C945C2"/>
    <w:rsid w:val="00C9474A"/>
    <w:rsid w:val="00C95501"/>
    <w:rsid w:val="00C955B9"/>
    <w:rsid w:val="00C955F6"/>
    <w:rsid w:val="00C956E1"/>
    <w:rsid w:val="00C95D7D"/>
    <w:rsid w:val="00C95E11"/>
    <w:rsid w:val="00C95E1D"/>
    <w:rsid w:val="00C96A8A"/>
    <w:rsid w:val="00C96A8C"/>
    <w:rsid w:val="00CA011A"/>
    <w:rsid w:val="00CA0E1A"/>
    <w:rsid w:val="00CA0E49"/>
    <w:rsid w:val="00CA1B84"/>
    <w:rsid w:val="00CA2C39"/>
    <w:rsid w:val="00CA2C4E"/>
    <w:rsid w:val="00CA307B"/>
    <w:rsid w:val="00CA3654"/>
    <w:rsid w:val="00CA3B84"/>
    <w:rsid w:val="00CA5244"/>
    <w:rsid w:val="00CA5468"/>
    <w:rsid w:val="00CA7371"/>
    <w:rsid w:val="00CA77BA"/>
    <w:rsid w:val="00CA7A36"/>
    <w:rsid w:val="00CA7EC2"/>
    <w:rsid w:val="00CA7FA8"/>
    <w:rsid w:val="00CB002E"/>
    <w:rsid w:val="00CB0936"/>
    <w:rsid w:val="00CB129A"/>
    <w:rsid w:val="00CB185D"/>
    <w:rsid w:val="00CB2A39"/>
    <w:rsid w:val="00CB2B95"/>
    <w:rsid w:val="00CB2CFB"/>
    <w:rsid w:val="00CB2F83"/>
    <w:rsid w:val="00CB385B"/>
    <w:rsid w:val="00CB3F0A"/>
    <w:rsid w:val="00CB42F9"/>
    <w:rsid w:val="00CB4DB3"/>
    <w:rsid w:val="00CB4DC4"/>
    <w:rsid w:val="00CB742C"/>
    <w:rsid w:val="00CC0065"/>
    <w:rsid w:val="00CC02CC"/>
    <w:rsid w:val="00CC039B"/>
    <w:rsid w:val="00CC0998"/>
    <w:rsid w:val="00CC0BB8"/>
    <w:rsid w:val="00CC1077"/>
    <w:rsid w:val="00CC1646"/>
    <w:rsid w:val="00CC1949"/>
    <w:rsid w:val="00CC252A"/>
    <w:rsid w:val="00CC3E45"/>
    <w:rsid w:val="00CC4432"/>
    <w:rsid w:val="00CC47F0"/>
    <w:rsid w:val="00CC4BB2"/>
    <w:rsid w:val="00CC5156"/>
    <w:rsid w:val="00CC58EE"/>
    <w:rsid w:val="00CC6045"/>
    <w:rsid w:val="00CC62EF"/>
    <w:rsid w:val="00CC6BB3"/>
    <w:rsid w:val="00CC6C3B"/>
    <w:rsid w:val="00CC71A1"/>
    <w:rsid w:val="00CC73B8"/>
    <w:rsid w:val="00CD03AA"/>
    <w:rsid w:val="00CD08D0"/>
    <w:rsid w:val="00CD182C"/>
    <w:rsid w:val="00CD1CA6"/>
    <w:rsid w:val="00CD1D17"/>
    <w:rsid w:val="00CD2D9E"/>
    <w:rsid w:val="00CD32C2"/>
    <w:rsid w:val="00CD3325"/>
    <w:rsid w:val="00CD3B77"/>
    <w:rsid w:val="00CD45FB"/>
    <w:rsid w:val="00CD4AEA"/>
    <w:rsid w:val="00CD58E8"/>
    <w:rsid w:val="00CD6C9A"/>
    <w:rsid w:val="00CD6EA8"/>
    <w:rsid w:val="00CD70DB"/>
    <w:rsid w:val="00CD7373"/>
    <w:rsid w:val="00CD73A7"/>
    <w:rsid w:val="00CD7A3F"/>
    <w:rsid w:val="00CD7BCB"/>
    <w:rsid w:val="00CE02C9"/>
    <w:rsid w:val="00CE0E47"/>
    <w:rsid w:val="00CE12E4"/>
    <w:rsid w:val="00CE2F72"/>
    <w:rsid w:val="00CE30E5"/>
    <w:rsid w:val="00CE3A64"/>
    <w:rsid w:val="00CE3E1E"/>
    <w:rsid w:val="00CE3F00"/>
    <w:rsid w:val="00CE43F3"/>
    <w:rsid w:val="00CE6733"/>
    <w:rsid w:val="00CE6AF8"/>
    <w:rsid w:val="00CE6B0F"/>
    <w:rsid w:val="00CE715A"/>
    <w:rsid w:val="00CE7554"/>
    <w:rsid w:val="00CE7687"/>
    <w:rsid w:val="00CE7C1D"/>
    <w:rsid w:val="00CE7F07"/>
    <w:rsid w:val="00CF04DC"/>
    <w:rsid w:val="00CF0AFA"/>
    <w:rsid w:val="00CF1149"/>
    <w:rsid w:val="00CF1D7E"/>
    <w:rsid w:val="00CF279E"/>
    <w:rsid w:val="00CF2B7C"/>
    <w:rsid w:val="00CF4251"/>
    <w:rsid w:val="00CF4546"/>
    <w:rsid w:val="00CF483D"/>
    <w:rsid w:val="00CF4C61"/>
    <w:rsid w:val="00CF4CF1"/>
    <w:rsid w:val="00CF508A"/>
    <w:rsid w:val="00CF5136"/>
    <w:rsid w:val="00CF5758"/>
    <w:rsid w:val="00CF5B85"/>
    <w:rsid w:val="00CF5D6B"/>
    <w:rsid w:val="00CF60B6"/>
    <w:rsid w:val="00CF6230"/>
    <w:rsid w:val="00CF625F"/>
    <w:rsid w:val="00CF6318"/>
    <w:rsid w:val="00CF757B"/>
    <w:rsid w:val="00CF75C1"/>
    <w:rsid w:val="00CF799F"/>
    <w:rsid w:val="00D003A2"/>
    <w:rsid w:val="00D0049C"/>
    <w:rsid w:val="00D009C3"/>
    <w:rsid w:val="00D0130E"/>
    <w:rsid w:val="00D018A4"/>
    <w:rsid w:val="00D019FD"/>
    <w:rsid w:val="00D01A13"/>
    <w:rsid w:val="00D021AD"/>
    <w:rsid w:val="00D029F8"/>
    <w:rsid w:val="00D04939"/>
    <w:rsid w:val="00D051F7"/>
    <w:rsid w:val="00D0525A"/>
    <w:rsid w:val="00D05415"/>
    <w:rsid w:val="00D05639"/>
    <w:rsid w:val="00D05956"/>
    <w:rsid w:val="00D05BBB"/>
    <w:rsid w:val="00D063E6"/>
    <w:rsid w:val="00D067C5"/>
    <w:rsid w:val="00D06900"/>
    <w:rsid w:val="00D06BCF"/>
    <w:rsid w:val="00D075FF"/>
    <w:rsid w:val="00D07957"/>
    <w:rsid w:val="00D079E9"/>
    <w:rsid w:val="00D07E4F"/>
    <w:rsid w:val="00D07E95"/>
    <w:rsid w:val="00D10ABC"/>
    <w:rsid w:val="00D10BD6"/>
    <w:rsid w:val="00D11110"/>
    <w:rsid w:val="00D1135C"/>
    <w:rsid w:val="00D119CF"/>
    <w:rsid w:val="00D11A26"/>
    <w:rsid w:val="00D11A28"/>
    <w:rsid w:val="00D11AEC"/>
    <w:rsid w:val="00D127C0"/>
    <w:rsid w:val="00D129C9"/>
    <w:rsid w:val="00D12CCA"/>
    <w:rsid w:val="00D12DAD"/>
    <w:rsid w:val="00D13C11"/>
    <w:rsid w:val="00D13CED"/>
    <w:rsid w:val="00D14004"/>
    <w:rsid w:val="00D144BB"/>
    <w:rsid w:val="00D14E25"/>
    <w:rsid w:val="00D155E3"/>
    <w:rsid w:val="00D15F5F"/>
    <w:rsid w:val="00D1688F"/>
    <w:rsid w:val="00D16E6E"/>
    <w:rsid w:val="00D177FD"/>
    <w:rsid w:val="00D17AB1"/>
    <w:rsid w:val="00D17CE5"/>
    <w:rsid w:val="00D17F28"/>
    <w:rsid w:val="00D20BF5"/>
    <w:rsid w:val="00D20C78"/>
    <w:rsid w:val="00D21F82"/>
    <w:rsid w:val="00D223CE"/>
    <w:rsid w:val="00D228CB"/>
    <w:rsid w:val="00D22931"/>
    <w:rsid w:val="00D22AF6"/>
    <w:rsid w:val="00D2332A"/>
    <w:rsid w:val="00D23418"/>
    <w:rsid w:val="00D23A09"/>
    <w:rsid w:val="00D241AA"/>
    <w:rsid w:val="00D24D26"/>
    <w:rsid w:val="00D25D1B"/>
    <w:rsid w:val="00D25EC9"/>
    <w:rsid w:val="00D260BD"/>
    <w:rsid w:val="00D26CCB"/>
    <w:rsid w:val="00D26E7B"/>
    <w:rsid w:val="00D30895"/>
    <w:rsid w:val="00D30B67"/>
    <w:rsid w:val="00D31E30"/>
    <w:rsid w:val="00D31F0F"/>
    <w:rsid w:val="00D3230A"/>
    <w:rsid w:val="00D32BC6"/>
    <w:rsid w:val="00D33225"/>
    <w:rsid w:val="00D3338D"/>
    <w:rsid w:val="00D3549D"/>
    <w:rsid w:val="00D35C5A"/>
    <w:rsid w:val="00D368A8"/>
    <w:rsid w:val="00D36F65"/>
    <w:rsid w:val="00D36F7C"/>
    <w:rsid w:val="00D373CC"/>
    <w:rsid w:val="00D37B2D"/>
    <w:rsid w:val="00D37C92"/>
    <w:rsid w:val="00D4046B"/>
    <w:rsid w:val="00D404EA"/>
    <w:rsid w:val="00D40603"/>
    <w:rsid w:val="00D4076D"/>
    <w:rsid w:val="00D40B08"/>
    <w:rsid w:val="00D4138F"/>
    <w:rsid w:val="00D41445"/>
    <w:rsid w:val="00D41830"/>
    <w:rsid w:val="00D41C7A"/>
    <w:rsid w:val="00D422DC"/>
    <w:rsid w:val="00D42C28"/>
    <w:rsid w:val="00D42DC6"/>
    <w:rsid w:val="00D431E1"/>
    <w:rsid w:val="00D4336B"/>
    <w:rsid w:val="00D43571"/>
    <w:rsid w:val="00D4376A"/>
    <w:rsid w:val="00D438A0"/>
    <w:rsid w:val="00D438BF"/>
    <w:rsid w:val="00D4516F"/>
    <w:rsid w:val="00D451F7"/>
    <w:rsid w:val="00D45827"/>
    <w:rsid w:val="00D4605D"/>
    <w:rsid w:val="00D46562"/>
    <w:rsid w:val="00D46575"/>
    <w:rsid w:val="00D46814"/>
    <w:rsid w:val="00D46CD8"/>
    <w:rsid w:val="00D47D59"/>
    <w:rsid w:val="00D50844"/>
    <w:rsid w:val="00D508E3"/>
    <w:rsid w:val="00D50C25"/>
    <w:rsid w:val="00D50FDC"/>
    <w:rsid w:val="00D51070"/>
    <w:rsid w:val="00D511F2"/>
    <w:rsid w:val="00D51A3C"/>
    <w:rsid w:val="00D520AE"/>
    <w:rsid w:val="00D523AF"/>
    <w:rsid w:val="00D52719"/>
    <w:rsid w:val="00D52D05"/>
    <w:rsid w:val="00D5316B"/>
    <w:rsid w:val="00D53AAA"/>
    <w:rsid w:val="00D53BEB"/>
    <w:rsid w:val="00D54276"/>
    <w:rsid w:val="00D543EB"/>
    <w:rsid w:val="00D545CA"/>
    <w:rsid w:val="00D548D5"/>
    <w:rsid w:val="00D54FC9"/>
    <w:rsid w:val="00D5509B"/>
    <w:rsid w:val="00D56E26"/>
    <w:rsid w:val="00D56F09"/>
    <w:rsid w:val="00D5794E"/>
    <w:rsid w:val="00D608B4"/>
    <w:rsid w:val="00D61C07"/>
    <w:rsid w:val="00D625CE"/>
    <w:rsid w:val="00D62790"/>
    <w:rsid w:val="00D65154"/>
    <w:rsid w:val="00D65E5E"/>
    <w:rsid w:val="00D66D8D"/>
    <w:rsid w:val="00D7046F"/>
    <w:rsid w:val="00D70B77"/>
    <w:rsid w:val="00D71CA5"/>
    <w:rsid w:val="00D7217C"/>
    <w:rsid w:val="00D730DF"/>
    <w:rsid w:val="00D737ED"/>
    <w:rsid w:val="00D73826"/>
    <w:rsid w:val="00D73833"/>
    <w:rsid w:val="00D73875"/>
    <w:rsid w:val="00D73A35"/>
    <w:rsid w:val="00D74280"/>
    <w:rsid w:val="00D74503"/>
    <w:rsid w:val="00D746AE"/>
    <w:rsid w:val="00D749D6"/>
    <w:rsid w:val="00D771BF"/>
    <w:rsid w:val="00D77672"/>
    <w:rsid w:val="00D80280"/>
    <w:rsid w:val="00D80E88"/>
    <w:rsid w:val="00D8106D"/>
    <w:rsid w:val="00D81944"/>
    <w:rsid w:val="00D81EE0"/>
    <w:rsid w:val="00D824B3"/>
    <w:rsid w:val="00D8327C"/>
    <w:rsid w:val="00D83A44"/>
    <w:rsid w:val="00D83D11"/>
    <w:rsid w:val="00D84088"/>
    <w:rsid w:val="00D842B4"/>
    <w:rsid w:val="00D84736"/>
    <w:rsid w:val="00D84DC3"/>
    <w:rsid w:val="00D85E08"/>
    <w:rsid w:val="00D8600D"/>
    <w:rsid w:val="00D86908"/>
    <w:rsid w:val="00D86F8C"/>
    <w:rsid w:val="00D87160"/>
    <w:rsid w:val="00D92249"/>
    <w:rsid w:val="00D924CC"/>
    <w:rsid w:val="00D925E4"/>
    <w:rsid w:val="00D92A87"/>
    <w:rsid w:val="00D92BF0"/>
    <w:rsid w:val="00D9310F"/>
    <w:rsid w:val="00D93823"/>
    <w:rsid w:val="00D93907"/>
    <w:rsid w:val="00D93A1B"/>
    <w:rsid w:val="00D93EB4"/>
    <w:rsid w:val="00D947CC"/>
    <w:rsid w:val="00D95410"/>
    <w:rsid w:val="00D95E19"/>
    <w:rsid w:val="00D966AB"/>
    <w:rsid w:val="00D96907"/>
    <w:rsid w:val="00D974B0"/>
    <w:rsid w:val="00DA0270"/>
    <w:rsid w:val="00DA0364"/>
    <w:rsid w:val="00DA0542"/>
    <w:rsid w:val="00DA0739"/>
    <w:rsid w:val="00DA0CF9"/>
    <w:rsid w:val="00DA0FFB"/>
    <w:rsid w:val="00DA281D"/>
    <w:rsid w:val="00DA2B11"/>
    <w:rsid w:val="00DA378B"/>
    <w:rsid w:val="00DA4060"/>
    <w:rsid w:val="00DA4E73"/>
    <w:rsid w:val="00DA5EAD"/>
    <w:rsid w:val="00DA641C"/>
    <w:rsid w:val="00DA6ABF"/>
    <w:rsid w:val="00DA6DDF"/>
    <w:rsid w:val="00DA6E41"/>
    <w:rsid w:val="00DB00DC"/>
    <w:rsid w:val="00DB0497"/>
    <w:rsid w:val="00DB099F"/>
    <w:rsid w:val="00DB0CB0"/>
    <w:rsid w:val="00DB19C7"/>
    <w:rsid w:val="00DB2052"/>
    <w:rsid w:val="00DB241D"/>
    <w:rsid w:val="00DB2520"/>
    <w:rsid w:val="00DB2531"/>
    <w:rsid w:val="00DB25D2"/>
    <w:rsid w:val="00DB2809"/>
    <w:rsid w:val="00DB2CE3"/>
    <w:rsid w:val="00DB3368"/>
    <w:rsid w:val="00DB35A7"/>
    <w:rsid w:val="00DB386E"/>
    <w:rsid w:val="00DB45D0"/>
    <w:rsid w:val="00DB4D8C"/>
    <w:rsid w:val="00DB4E08"/>
    <w:rsid w:val="00DB50F7"/>
    <w:rsid w:val="00DB5678"/>
    <w:rsid w:val="00DB5E8A"/>
    <w:rsid w:val="00DB691F"/>
    <w:rsid w:val="00DB69AD"/>
    <w:rsid w:val="00DB74E5"/>
    <w:rsid w:val="00DB781E"/>
    <w:rsid w:val="00DB7CCA"/>
    <w:rsid w:val="00DC0563"/>
    <w:rsid w:val="00DC0BD3"/>
    <w:rsid w:val="00DC0E39"/>
    <w:rsid w:val="00DC0E9A"/>
    <w:rsid w:val="00DC1758"/>
    <w:rsid w:val="00DC1961"/>
    <w:rsid w:val="00DC2DF6"/>
    <w:rsid w:val="00DC3336"/>
    <w:rsid w:val="00DC343D"/>
    <w:rsid w:val="00DC3693"/>
    <w:rsid w:val="00DC486E"/>
    <w:rsid w:val="00DC4F19"/>
    <w:rsid w:val="00DC4F4A"/>
    <w:rsid w:val="00DC5D5E"/>
    <w:rsid w:val="00DC6C25"/>
    <w:rsid w:val="00DC7912"/>
    <w:rsid w:val="00DD122F"/>
    <w:rsid w:val="00DD131E"/>
    <w:rsid w:val="00DD1BA2"/>
    <w:rsid w:val="00DD1DAE"/>
    <w:rsid w:val="00DD2681"/>
    <w:rsid w:val="00DD2B35"/>
    <w:rsid w:val="00DD3236"/>
    <w:rsid w:val="00DD4396"/>
    <w:rsid w:val="00DD4837"/>
    <w:rsid w:val="00DD52B7"/>
    <w:rsid w:val="00DD5421"/>
    <w:rsid w:val="00DD5563"/>
    <w:rsid w:val="00DD5817"/>
    <w:rsid w:val="00DD58DD"/>
    <w:rsid w:val="00DD58F3"/>
    <w:rsid w:val="00DD6684"/>
    <w:rsid w:val="00DD697C"/>
    <w:rsid w:val="00DD7B0D"/>
    <w:rsid w:val="00DD7FE6"/>
    <w:rsid w:val="00DE042F"/>
    <w:rsid w:val="00DE1A05"/>
    <w:rsid w:val="00DE1E1D"/>
    <w:rsid w:val="00DE2B33"/>
    <w:rsid w:val="00DE35DB"/>
    <w:rsid w:val="00DE364C"/>
    <w:rsid w:val="00DE3CEA"/>
    <w:rsid w:val="00DE4358"/>
    <w:rsid w:val="00DE48EE"/>
    <w:rsid w:val="00DE4E88"/>
    <w:rsid w:val="00DE50AB"/>
    <w:rsid w:val="00DE53FF"/>
    <w:rsid w:val="00DE5F47"/>
    <w:rsid w:val="00DE616E"/>
    <w:rsid w:val="00DE6232"/>
    <w:rsid w:val="00DE66AD"/>
    <w:rsid w:val="00DE6B18"/>
    <w:rsid w:val="00DE7A9A"/>
    <w:rsid w:val="00DE7BF1"/>
    <w:rsid w:val="00DF062B"/>
    <w:rsid w:val="00DF0894"/>
    <w:rsid w:val="00DF0A24"/>
    <w:rsid w:val="00DF0CD0"/>
    <w:rsid w:val="00DF0EF0"/>
    <w:rsid w:val="00DF1DDE"/>
    <w:rsid w:val="00DF208E"/>
    <w:rsid w:val="00DF2576"/>
    <w:rsid w:val="00DF2B63"/>
    <w:rsid w:val="00DF2D0C"/>
    <w:rsid w:val="00DF2EBD"/>
    <w:rsid w:val="00DF39BF"/>
    <w:rsid w:val="00DF3D4E"/>
    <w:rsid w:val="00DF436D"/>
    <w:rsid w:val="00DF458F"/>
    <w:rsid w:val="00DF4A5B"/>
    <w:rsid w:val="00DF4C90"/>
    <w:rsid w:val="00DF4C9F"/>
    <w:rsid w:val="00DF5715"/>
    <w:rsid w:val="00DF5EC8"/>
    <w:rsid w:val="00DF6606"/>
    <w:rsid w:val="00DF6688"/>
    <w:rsid w:val="00DF6A80"/>
    <w:rsid w:val="00DF7328"/>
    <w:rsid w:val="00E0014F"/>
    <w:rsid w:val="00E00302"/>
    <w:rsid w:val="00E004D1"/>
    <w:rsid w:val="00E0056E"/>
    <w:rsid w:val="00E00589"/>
    <w:rsid w:val="00E00EDF"/>
    <w:rsid w:val="00E015F5"/>
    <w:rsid w:val="00E01806"/>
    <w:rsid w:val="00E022FF"/>
    <w:rsid w:val="00E0282F"/>
    <w:rsid w:val="00E0301B"/>
    <w:rsid w:val="00E0350B"/>
    <w:rsid w:val="00E03530"/>
    <w:rsid w:val="00E03738"/>
    <w:rsid w:val="00E03CDC"/>
    <w:rsid w:val="00E04032"/>
    <w:rsid w:val="00E04778"/>
    <w:rsid w:val="00E0478A"/>
    <w:rsid w:val="00E04D1B"/>
    <w:rsid w:val="00E04D6A"/>
    <w:rsid w:val="00E04DF2"/>
    <w:rsid w:val="00E0512A"/>
    <w:rsid w:val="00E06C6F"/>
    <w:rsid w:val="00E0789B"/>
    <w:rsid w:val="00E07CA5"/>
    <w:rsid w:val="00E101C9"/>
    <w:rsid w:val="00E1043D"/>
    <w:rsid w:val="00E10EF2"/>
    <w:rsid w:val="00E116BB"/>
    <w:rsid w:val="00E119F8"/>
    <w:rsid w:val="00E11C13"/>
    <w:rsid w:val="00E11C21"/>
    <w:rsid w:val="00E128C0"/>
    <w:rsid w:val="00E12E2E"/>
    <w:rsid w:val="00E130AD"/>
    <w:rsid w:val="00E132B7"/>
    <w:rsid w:val="00E14E99"/>
    <w:rsid w:val="00E1555F"/>
    <w:rsid w:val="00E15609"/>
    <w:rsid w:val="00E1572A"/>
    <w:rsid w:val="00E15794"/>
    <w:rsid w:val="00E161D6"/>
    <w:rsid w:val="00E16318"/>
    <w:rsid w:val="00E16523"/>
    <w:rsid w:val="00E177B7"/>
    <w:rsid w:val="00E17C84"/>
    <w:rsid w:val="00E2081C"/>
    <w:rsid w:val="00E2083F"/>
    <w:rsid w:val="00E21025"/>
    <w:rsid w:val="00E21497"/>
    <w:rsid w:val="00E21862"/>
    <w:rsid w:val="00E2283D"/>
    <w:rsid w:val="00E22C36"/>
    <w:rsid w:val="00E22F4B"/>
    <w:rsid w:val="00E232E3"/>
    <w:rsid w:val="00E23849"/>
    <w:rsid w:val="00E23BE0"/>
    <w:rsid w:val="00E2420E"/>
    <w:rsid w:val="00E2423B"/>
    <w:rsid w:val="00E26120"/>
    <w:rsid w:val="00E266DA"/>
    <w:rsid w:val="00E26BE0"/>
    <w:rsid w:val="00E26CB3"/>
    <w:rsid w:val="00E2733F"/>
    <w:rsid w:val="00E30741"/>
    <w:rsid w:val="00E30E3D"/>
    <w:rsid w:val="00E30E75"/>
    <w:rsid w:val="00E31455"/>
    <w:rsid w:val="00E31478"/>
    <w:rsid w:val="00E3148A"/>
    <w:rsid w:val="00E316CD"/>
    <w:rsid w:val="00E317AB"/>
    <w:rsid w:val="00E31931"/>
    <w:rsid w:val="00E31D4C"/>
    <w:rsid w:val="00E3279C"/>
    <w:rsid w:val="00E33407"/>
    <w:rsid w:val="00E339FC"/>
    <w:rsid w:val="00E34402"/>
    <w:rsid w:val="00E34931"/>
    <w:rsid w:val="00E35548"/>
    <w:rsid w:val="00E3594F"/>
    <w:rsid w:val="00E36CFE"/>
    <w:rsid w:val="00E36FB2"/>
    <w:rsid w:val="00E4027B"/>
    <w:rsid w:val="00E409DA"/>
    <w:rsid w:val="00E40FB8"/>
    <w:rsid w:val="00E4135F"/>
    <w:rsid w:val="00E41F14"/>
    <w:rsid w:val="00E42686"/>
    <w:rsid w:val="00E42E95"/>
    <w:rsid w:val="00E434C1"/>
    <w:rsid w:val="00E43C5B"/>
    <w:rsid w:val="00E43DD4"/>
    <w:rsid w:val="00E44467"/>
    <w:rsid w:val="00E44E7D"/>
    <w:rsid w:val="00E450B0"/>
    <w:rsid w:val="00E45ECF"/>
    <w:rsid w:val="00E4682B"/>
    <w:rsid w:val="00E4745C"/>
    <w:rsid w:val="00E47CD1"/>
    <w:rsid w:val="00E506BE"/>
    <w:rsid w:val="00E506CE"/>
    <w:rsid w:val="00E507BF"/>
    <w:rsid w:val="00E50896"/>
    <w:rsid w:val="00E50F1A"/>
    <w:rsid w:val="00E514DF"/>
    <w:rsid w:val="00E52639"/>
    <w:rsid w:val="00E5281C"/>
    <w:rsid w:val="00E52D92"/>
    <w:rsid w:val="00E530A2"/>
    <w:rsid w:val="00E54C64"/>
    <w:rsid w:val="00E55197"/>
    <w:rsid w:val="00E5578D"/>
    <w:rsid w:val="00E55D8A"/>
    <w:rsid w:val="00E60180"/>
    <w:rsid w:val="00E6071B"/>
    <w:rsid w:val="00E60863"/>
    <w:rsid w:val="00E60C88"/>
    <w:rsid w:val="00E6128E"/>
    <w:rsid w:val="00E622D8"/>
    <w:rsid w:val="00E62C21"/>
    <w:rsid w:val="00E630AA"/>
    <w:rsid w:val="00E631FB"/>
    <w:rsid w:val="00E63B3B"/>
    <w:rsid w:val="00E63D6C"/>
    <w:rsid w:val="00E63FDE"/>
    <w:rsid w:val="00E6458F"/>
    <w:rsid w:val="00E64648"/>
    <w:rsid w:val="00E6467E"/>
    <w:rsid w:val="00E64A3A"/>
    <w:rsid w:val="00E64DA0"/>
    <w:rsid w:val="00E6509D"/>
    <w:rsid w:val="00E65618"/>
    <w:rsid w:val="00E65935"/>
    <w:rsid w:val="00E65D6E"/>
    <w:rsid w:val="00E67410"/>
    <w:rsid w:val="00E67CF8"/>
    <w:rsid w:val="00E67EBD"/>
    <w:rsid w:val="00E70160"/>
    <w:rsid w:val="00E70227"/>
    <w:rsid w:val="00E70787"/>
    <w:rsid w:val="00E71127"/>
    <w:rsid w:val="00E714F3"/>
    <w:rsid w:val="00E71631"/>
    <w:rsid w:val="00E71B1D"/>
    <w:rsid w:val="00E71E54"/>
    <w:rsid w:val="00E723A9"/>
    <w:rsid w:val="00E729B7"/>
    <w:rsid w:val="00E72BB4"/>
    <w:rsid w:val="00E72FDF"/>
    <w:rsid w:val="00E73FFE"/>
    <w:rsid w:val="00E743E7"/>
    <w:rsid w:val="00E744CF"/>
    <w:rsid w:val="00E74CBE"/>
    <w:rsid w:val="00E751A7"/>
    <w:rsid w:val="00E75225"/>
    <w:rsid w:val="00E7531B"/>
    <w:rsid w:val="00E754BF"/>
    <w:rsid w:val="00E76536"/>
    <w:rsid w:val="00E768A4"/>
    <w:rsid w:val="00E76E44"/>
    <w:rsid w:val="00E770C0"/>
    <w:rsid w:val="00E77349"/>
    <w:rsid w:val="00E8155C"/>
    <w:rsid w:val="00E81B17"/>
    <w:rsid w:val="00E81C0B"/>
    <w:rsid w:val="00E826F9"/>
    <w:rsid w:val="00E82840"/>
    <w:rsid w:val="00E828EB"/>
    <w:rsid w:val="00E8396D"/>
    <w:rsid w:val="00E85210"/>
    <w:rsid w:val="00E8596C"/>
    <w:rsid w:val="00E85B71"/>
    <w:rsid w:val="00E866E5"/>
    <w:rsid w:val="00E87043"/>
    <w:rsid w:val="00E878EC"/>
    <w:rsid w:val="00E87BA0"/>
    <w:rsid w:val="00E903A2"/>
    <w:rsid w:val="00E90BAF"/>
    <w:rsid w:val="00E910B9"/>
    <w:rsid w:val="00E91277"/>
    <w:rsid w:val="00E9151C"/>
    <w:rsid w:val="00E9227F"/>
    <w:rsid w:val="00E92371"/>
    <w:rsid w:val="00E92491"/>
    <w:rsid w:val="00E93567"/>
    <w:rsid w:val="00E935AA"/>
    <w:rsid w:val="00E93D58"/>
    <w:rsid w:val="00E94D39"/>
    <w:rsid w:val="00E95198"/>
    <w:rsid w:val="00E95223"/>
    <w:rsid w:val="00E958EF"/>
    <w:rsid w:val="00E95A63"/>
    <w:rsid w:val="00E95AB1"/>
    <w:rsid w:val="00E9603D"/>
    <w:rsid w:val="00E96D9E"/>
    <w:rsid w:val="00E96DC5"/>
    <w:rsid w:val="00E97872"/>
    <w:rsid w:val="00E97E80"/>
    <w:rsid w:val="00EA00B7"/>
    <w:rsid w:val="00EA02A3"/>
    <w:rsid w:val="00EA06A4"/>
    <w:rsid w:val="00EA0C24"/>
    <w:rsid w:val="00EA33B8"/>
    <w:rsid w:val="00EA3E49"/>
    <w:rsid w:val="00EA3F52"/>
    <w:rsid w:val="00EA47CF"/>
    <w:rsid w:val="00EA4CA1"/>
    <w:rsid w:val="00EA4F3C"/>
    <w:rsid w:val="00EA52E1"/>
    <w:rsid w:val="00EA5EAE"/>
    <w:rsid w:val="00EA696F"/>
    <w:rsid w:val="00EA7207"/>
    <w:rsid w:val="00EA757D"/>
    <w:rsid w:val="00EB0065"/>
    <w:rsid w:val="00EB02DF"/>
    <w:rsid w:val="00EB0CDB"/>
    <w:rsid w:val="00EB0CDE"/>
    <w:rsid w:val="00EB1283"/>
    <w:rsid w:val="00EB1581"/>
    <w:rsid w:val="00EB19C8"/>
    <w:rsid w:val="00EB1B5F"/>
    <w:rsid w:val="00EB21D4"/>
    <w:rsid w:val="00EB2E99"/>
    <w:rsid w:val="00EB2F42"/>
    <w:rsid w:val="00EB3023"/>
    <w:rsid w:val="00EB308D"/>
    <w:rsid w:val="00EB3AA0"/>
    <w:rsid w:val="00EB3DF8"/>
    <w:rsid w:val="00EB4065"/>
    <w:rsid w:val="00EB42EF"/>
    <w:rsid w:val="00EB47E9"/>
    <w:rsid w:val="00EB49DB"/>
    <w:rsid w:val="00EB4F3C"/>
    <w:rsid w:val="00EB5012"/>
    <w:rsid w:val="00EB5CE9"/>
    <w:rsid w:val="00EB5D2E"/>
    <w:rsid w:val="00EB65A7"/>
    <w:rsid w:val="00EB6D06"/>
    <w:rsid w:val="00EB6D36"/>
    <w:rsid w:val="00EB7515"/>
    <w:rsid w:val="00EC0F28"/>
    <w:rsid w:val="00EC1133"/>
    <w:rsid w:val="00EC29A1"/>
    <w:rsid w:val="00EC3372"/>
    <w:rsid w:val="00EC40CE"/>
    <w:rsid w:val="00EC4EA7"/>
    <w:rsid w:val="00EC4EFA"/>
    <w:rsid w:val="00EC5AE2"/>
    <w:rsid w:val="00EC5FEB"/>
    <w:rsid w:val="00EC6A00"/>
    <w:rsid w:val="00EC7ACC"/>
    <w:rsid w:val="00EC7DEA"/>
    <w:rsid w:val="00ED0A0A"/>
    <w:rsid w:val="00ED0C1E"/>
    <w:rsid w:val="00ED0EA2"/>
    <w:rsid w:val="00ED1698"/>
    <w:rsid w:val="00ED1DFD"/>
    <w:rsid w:val="00ED2766"/>
    <w:rsid w:val="00ED34A6"/>
    <w:rsid w:val="00ED4206"/>
    <w:rsid w:val="00ED4945"/>
    <w:rsid w:val="00ED4961"/>
    <w:rsid w:val="00ED5F72"/>
    <w:rsid w:val="00ED6799"/>
    <w:rsid w:val="00ED70CC"/>
    <w:rsid w:val="00ED71B3"/>
    <w:rsid w:val="00ED7435"/>
    <w:rsid w:val="00ED7531"/>
    <w:rsid w:val="00ED760C"/>
    <w:rsid w:val="00ED7683"/>
    <w:rsid w:val="00ED77A0"/>
    <w:rsid w:val="00ED7A0A"/>
    <w:rsid w:val="00ED7B0C"/>
    <w:rsid w:val="00ED7B55"/>
    <w:rsid w:val="00EE01C9"/>
    <w:rsid w:val="00EE04BB"/>
    <w:rsid w:val="00EE0F2A"/>
    <w:rsid w:val="00EE1006"/>
    <w:rsid w:val="00EE397E"/>
    <w:rsid w:val="00EE3FDC"/>
    <w:rsid w:val="00EE47B2"/>
    <w:rsid w:val="00EE50C7"/>
    <w:rsid w:val="00EE52F4"/>
    <w:rsid w:val="00EE54E0"/>
    <w:rsid w:val="00EE6104"/>
    <w:rsid w:val="00EE65E8"/>
    <w:rsid w:val="00EE6B55"/>
    <w:rsid w:val="00EE6C21"/>
    <w:rsid w:val="00EE71BB"/>
    <w:rsid w:val="00EE7222"/>
    <w:rsid w:val="00EF0009"/>
    <w:rsid w:val="00EF054B"/>
    <w:rsid w:val="00EF142D"/>
    <w:rsid w:val="00EF1493"/>
    <w:rsid w:val="00EF149F"/>
    <w:rsid w:val="00EF17B3"/>
    <w:rsid w:val="00EF1F97"/>
    <w:rsid w:val="00EF2365"/>
    <w:rsid w:val="00EF31C2"/>
    <w:rsid w:val="00EF33F3"/>
    <w:rsid w:val="00EF49D4"/>
    <w:rsid w:val="00EF5B15"/>
    <w:rsid w:val="00EF5D3C"/>
    <w:rsid w:val="00EF5F3E"/>
    <w:rsid w:val="00EF7082"/>
    <w:rsid w:val="00EF78D2"/>
    <w:rsid w:val="00EF7991"/>
    <w:rsid w:val="00EF7A3E"/>
    <w:rsid w:val="00F005AA"/>
    <w:rsid w:val="00F0146E"/>
    <w:rsid w:val="00F01AF0"/>
    <w:rsid w:val="00F01E6E"/>
    <w:rsid w:val="00F02C32"/>
    <w:rsid w:val="00F031C9"/>
    <w:rsid w:val="00F03CA0"/>
    <w:rsid w:val="00F03CF5"/>
    <w:rsid w:val="00F03E4D"/>
    <w:rsid w:val="00F04307"/>
    <w:rsid w:val="00F04620"/>
    <w:rsid w:val="00F05689"/>
    <w:rsid w:val="00F0613B"/>
    <w:rsid w:val="00F0628A"/>
    <w:rsid w:val="00F066BC"/>
    <w:rsid w:val="00F0671C"/>
    <w:rsid w:val="00F06833"/>
    <w:rsid w:val="00F07509"/>
    <w:rsid w:val="00F10012"/>
    <w:rsid w:val="00F1041C"/>
    <w:rsid w:val="00F106D1"/>
    <w:rsid w:val="00F110F9"/>
    <w:rsid w:val="00F113C2"/>
    <w:rsid w:val="00F11474"/>
    <w:rsid w:val="00F12017"/>
    <w:rsid w:val="00F12651"/>
    <w:rsid w:val="00F128AE"/>
    <w:rsid w:val="00F12D81"/>
    <w:rsid w:val="00F12DA0"/>
    <w:rsid w:val="00F12EE7"/>
    <w:rsid w:val="00F12F08"/>
    <w:rsid w:val="00F13961"/>
    <w:rsid w:val="00F1398E"/>
    <w:rsid w:val="00F139F5"/>
    <w:rsid w:val="00F13BF8"/>
    <w:rsid w:val="00F14339"/>
    <w:rsid w:val="00F14A8D"/>
    <w:rsid w:val="00F166BC"/>
    <w:rsid w:val="00F167F4"/>
    <w:rsid w:val="00F169EF"/>
    <w:rsid w:val="00F16C81"/>
    <w:rsid w:val="00F1725D"/>
    <w:rsid w:val="00F17315"/>
    <w:rsid w:val="00F173B7"/>
    <w:rsid w:val="00F17A22"/>
    <w:rsid w:val="00F20D3D"/>
    <w:rsid w:val="00F21015"/>
    <w:rsid w:val="00F21412"/>
    <w:rsid w:val="00F2167E"/>
    <w:rsid w:val="00F2173A"/>
    <w:rsid w:val="00F21B4E"/>
    <w:rsid w:val="00F21EB0"/>
    <w:rsid w:val="00F2227E"/>
    <w:rsid w:val="00F2287D"/>
    <w:rsid w:val="00F230B8"/>
    <w:rsid w:val="00F236FD"/>
    <w:rsid w:val="00F23729"/>
    <w:rsid w:val="00F241D0"/>
    <w:rsid w:val="00F26039"/>
    <w:rsid w:val="00F263F8"/>
    <w:rsid w:val="00F263FE"/>
    <w:rsid w:val="00F264CF"/>
    <w:rsid w:val="00F26C88"/>
    <w:rsid w:val="00F26F00"/>
    <w:rsid w:val="00F27AD4"/>
    <w:rsid w:val="00F30157"/>
    <w:rsid w:val="00F3153F"/>
    <w:rsid w:val="00F31568"/>
    <w:rsid w:val="00F31E37"/>
    <w:rsid w:val="00F323F5"/>
    <w:rsid w:val="00F32994"/>
    <w:rsid w:val="00F331B1"/>
    <w:rsid w:val="00F332CA"/>
    <w:rsid w:val="00F33936"/>
    <w:rsid w:val="00F33C8C"/>
    <w:rsid w:val="00F349B5"/>
    <w:rsid w:val="00F35D03"/>
    <w:rsid w:val="00F35F50"/>
    <w:rsid w:val="00F36286"/>
    <w:rsid w:val="00F36B0A"/>
    <w:rsid w:val="00F36C08"/>
    <w:rsid w:val="00F400AE"/>
    <w:rsid w:val="00F4023C"/>
    <w:rsid w:val="00F40696"/>
    <w:rsid w:val="00F40C0D"/>
    <w:rsid w:val="00F40E69"/>
    <w:rsid w:val="00F411AC"/>
    <w:rsid w:val="00F4134F"/>
    <w:rsid w:val="00F413C8"/>
    <w:rsid w:val="00F41680"/>
    <w:rsid w:val="00F419FB"/>
    <w:rsid w:val="00F423CE"/>
    <w:rsid w:val="00F429B4"/>
    <w:rsid w:val="00F43CFE"/>
    <w:rsid w:val="00F44EAB"/>
    <w:rsid w:val="00F450D5"/>
    <w:rsid w:val="00F4517A"/>
    <w:rsid w:val="00F4556D"/>
    <w:rsid w:val="00F4584F"/>
    <w:rsid w:val="00F45B33"/>
    <w:rsid w:val="00F45FE7"/>
    <w:rsid w:val="00F463A8"/>
    <w:rsid w:val="00F46998"/>
    <w:rsid w:val="00F50788"/>
    <w:rsid w:val="00F50C27"/>
    <w:rsid w:val="00F50C2A"/>
    <w:rsid w:val="00F5129C"/>
    <w:rsid w:val="00F517BA"/>
    <w:rsid w:val="00F517E9"/>
    <w:rsid w:val="00F51877"/>
    <w:rsid w:val="00F51B81"/>
    <w:rsid w:val="00F51CCB"/>
    <w:rsid w:val="00F51D68"/>
    <w:rsid w:val="00F528CE"/>
    <w:rsid w:val="00F5320F"/>
    <w:rsid w:val="00F536C8"/>
    <w:rsid w:val="00F53CA3"/>
    <w:rsid w:val="00F53CC7"/>
    <w:rsid w:val="00F53EB9"/>
    <w:rsid w:val="00F54564"/>
    <w:rsid w:val="00F54D01"/>
    <w:rsid w:val="00F55936"/>
    <w:rsid w:val="00F55DEF"/>
    <w:rsid w:val="00F55E0F"/>
    <w:rsid w:val="00F563AA"/>
    <w:rsid w:val="00F563F3"/>
    <w:rsid w:val="00F565A0"/>
    <w:rsid w:val="00F571DB"/>
    <w:rsid w:val="00F571ED"/>
    <w:rsid w:val="00F57685"/>
    <w:rsid w:val="00F6018F"/>
    <w:rsid w:val="00F60608"/>
    <w:rsid w:val="00F60F84"/>
    <w:rsid w:val="00F61341"/>
    <w:rsid w:val="00F62167"/>
    <w:rsid w:val="00F62A93"/>
    <w:rsid w:val="00F63BBF"/>
    <w:rsid w:val="00F63BE8"/>
    <w:rsid w:val="00F64673"/>
    <w:rsid w:val="00F647F5"/>
    <w:rsid w:val="00F650F0"/>
    <w:rsid w:val="00F65112"/>
    <w:rsid w:val="00F6573C"/>
    <w:rsid w:val="00F6606A"/>
    <w:rsid w:val="00F66082"/>
    <w:rsid w:val="00F6612C"/>
    <w:rsid w:val="00F66F4E"/>
    <w:rsid w:val="00F6715B"/>
    <w:rsid w:val="00F67387"/>
    <w:rsid w:val="00F7058C"/>
    <w:rsid w:val="00F706CD"/>
    <w:rsid w:val="00F71298"/>
    <w:rsid w:val="00F71DD8"/>
    <w:rsid w:val="00F73009"/>
    <w:rsid w:val="00F731AC"/>
    <w:rsid w:val="00F7357A"/>
    <w:rsid w:val="00F73977"/>
    <w:rsid w:val="00F73B0D"/>
    <w:rsid w:val="00F74D03"/>
    <w:rsid w:val="00F75614"/>
    <w:rsid w:val="00F75965"/>
    <w:rsid w:val="00F75B58"/>
    <w:rsid w:val="00F761B3"/>
    <w:rsid w:val="00F762C6"/>
    <w:rsid w:val="00F77358"/>
    <w:rsid w:val="00F80559"/>
    <w:rsid w:val="00F806BE"/>
    <w:rsid w:val="00F80788"/>
    <w:rsid w:val="00F80A96"/>
    <w:rsid w:val="00F81CA4"/>
    <w:rsid w:val="00F81E8E"/>
    <w:rsid w:val="00F82268"/>
    <w:rsid w:val="00F83070"/>
    <w:rsid w:val="00F839E0"/>
    <w:rsid w:val="00F83CFA"/>
    <w:rsid w:val="00F8450E"/>
    <w:rsid w:val="00F85A3C"/>
    <w:rsid w:val="00F8668D"/>
    <w:rsid w:val="00F86693"/>
    <w:rsid w:val="00F8699A"/>
    <w:rsid w:val="00F86F03"/>
    <w:rsid w:val="00F87023"/>
    <w:rsid w:val="00F87083"/>
    <w:rsid w:val="00F87A7B"/>
    <w:rsid w:val="00F87B30"/>
    <w:rsid w:val="00F90000"/>
    <w:rsid w:val="00F90BFE"/>
    <w:rsid w:val="00F91075"/>
    <w:rsid w:val="00F913F9"/>
    <w:rsid w:val="00F91838"/>
    <w:rsid w:val="00F91EEF"/>
    <w:rsid w:val="00F920DA"/>
    <w:rsid w:val="00F92365"/>
    <w:rsid w:val="00F9294C"/>
    <w:rsid w:val="00F92EBA"/>
    <w:rsid w:val="00F93FCC"/>
    <w:rsid w:val="00F94709"/>
    <w:rsid w:val="00F94BF5"/>
    <w:rsid w:val="00F94D70"/>
    <w:rsid w:val="00F95656"/>
    <w:rsid w:val="00F9653F"/>
    <w:rsid w:val="00F96572"/>
    <w:rsid w:val="00F968FE"/>
    <w:rsid w:val="00F96A33"/>
    <w:rsid w:val="00F97250"/>
    <w:rsid w:val="00F9777C"/>
    <w:rsid w:val="00FA0F11"/>
    <w:rsid w:val="00FA146E"/>
    <w:rsid w:val="00FA22B5"/>
    <w:rsid w:val="00FA249D"/>
    <w:rsid w:val="00FA444A"/>
    <w:rsid w:val="00FA4485"/>
    <w:rsid w:val="00FA4679"/>
    <w:rsid w:val="00FA46EE"/>
    <w:rsid w:val="00FA5FDA"/>
    <w:rsid w:val="00FA60A1"/>
    <w:rsid w:val="00FA6941"/>
    <w:rsid w:val="00FA70D2"/>
    <w:rsid w:val="00FA7963"/>
    <w:rsid w:val="00FA7A52"/>
    <w:rsid w:val="00FA7A81"/>
    <w:rsid w:val="00FA7CC7"/>
    <w:rsid w:val="00FB0DA1"/>
    <w:rsid w:val="00FB0F62"/>
    <w:rsid w:val="00FB1250"/>
    <w:rsid w:val="00FB1613"/>
    <w:rsid w:val="00FB1999"/>
    <w:rsid w:val="00FB29C6"/>
    <w:rsid w:val="00FB2D7C"/>
    <w:rsid w:val="00FB30FA"/>
    <w:rsid w:val="00FB389B"/>
    <w:rsid w:val="00FB4E72"/>
    <w:rsid w:val="00FB5148"/>
    <w:rsid w:val="00FB5D75"/>
    <w:rsid w:val="00FB5E22"/>
    <w:rsid w:val="00FB6497"/>
    <w:rsid w:val="00FB7364"/>
    <w:rsid w:val="00FB782A"/>
    <w:rsid w:val="00FB7B83"/>
    <w:rsid w:val="00FC0102"/>
    <w:rsid w:val="00FC0619"/>
    <w:rsid w:val="00FC1888"/>
    <w:rsid w:val="00FC2FF1"/>
    <w:rsid w:val="00FC31EB"/>
    <w:rsid w:val="00FC34CB"/>
    <w:rsid w:val="00FC37A2"/>
    <w:rsid w:val="00FC38B2"/>
    <w:rsid w:val="00FC5072"/>
    <w:rsid w:val="00FC51B4"/>
    <w:rsid w:val="00FC52C6"/>
    <w:rsid w:val="00FC579C"/>
    <w:rsid w:val="00FC5DB2"/>
    <w:rsid w:val="00FC5F9A"/>
    <w:rsid w:val="00FC667D"/>
    <w:rsid w:val="00FC676C"/>
    <w:rsid w:val="00FC7AD5"/>
    <w:rsid w:val="00FC7CEE"/>
    <w:rsid w:val="00FC7FB5"/>
    <w:rsid w:val="00FD0A96"/>
    <w:rsid w:val="00FD0DE7"/>
    <w:rsid w:val="00FD1299"/>
    <w:rsid w:val="00FD1632"/>
    <w:rsid w:val="00FD1EAB"/>
    <w:rsid w:val="00FD201A"/>
    <w:rsid w:val="00FD24B1"/>
    <w:rsid w:val="00FD2C14"/>
    <w:rsid w:val="00FD2E0E"/>
    <w:rsid w:val="00FD328B"/>
    <w:rsid w:val="00FD3407"/>
    <w:rsid w:val="00FD3973"/>
    <w:rsid w:val="00FD3DB6"/>
    <w:rsid w:val="00FD448E"/>
    <w:rsid w:val="00FD4B09"/>
    <w:rsid w:val="00FD4BBD"/>
    <w:rsid w:val="00FD5325"/>
    <w:rsid w:val="00FD533A"/>
    <w:rsid w:val="00FD53A1"/>
    <w:rsid w:val="00FD584E"/>
    <w:rsid w:val="00FD5C4A"/>
    <w:rsid w:val="00FD6B1C"/>
    <w:rsid w:val="00FD717A"/>
    <w:rsid w:val="00FD72BB"/>
    <w:rsid w:val="00FD744E"/>
    <w:rsid w:val="00FD7C89"/>
    <w:rsid w:val="00FE02B6"/>
    <w:rsid w:val="00FE0676"/>
    <w:rsid w:val="00FE06B1"/>
    <w:rsid w:val="00FE1419"/>
    <w:rsid w:val="00FE32D2"/>
    <w:rsid w:val="00FE36E5"/>
    <w:rsid w:val="00FE52D2"/>
    <w:rsid w:val="00FE5C0A"/>
    <w:rsid w:val="00FE61FB"/>
    <w:rsid w:val="00FE634B"/>
    <w:rsid w:val="00FE6890"/>
    <w:rsid w:val="00FE68DD"/>
    <w:rsid w:val="00FE751E"/>
    <w:rsid w:val="00FE7633"/>
    <w:rsid w:val="00FF0051"/>
    <w:rsid w:val="00FF0924"/>
    <w:rsid w:val="00FF11E0"/>
    <w:rsid w:val="00FF1C3F"/>
    <w:rsid w:val="00FF2811"/>
    <w:rsid w:val="00FF2912"/>
    <w:rsid w:val="00FF2947"/>
    <w:rsid w:val="00FF29B3"/>
    <w:rsid w:val="00FF29E5"/>
    <w:rsid w:val="00FF2DA6"/>
    <w:rsid w:val="00FF301B"/>
    <w:rsid w:val="00FF3541"/>
    <w:rsid w:val="00FF36B2"/>
    <w:rsid w:val="00FF3D7A"/>
    <w:rsid w:val="00FF477E"/>
    <w:rsid w:val="00FF4C2E"/>
    <w:rsid w:val="00FF4C6C"/>
    <w:rsid w:val="00FF4F5C"/>
    <w:rsid w:val="00FF5C4A"/>
    <w:rsid w:val="00FF65EE"/>
    <w:rsid w:val="00FF687A"/>
    <w:rsid w:val="00FF725E"/>
    <w:rsid w:val="0FE83B0C"/>
    <w:rsid w:val="264755F7"/>
    <w:rsid w:val="40A4170E"/>
    <w:rsid w:val="47E61D31"/>
    <w:rsid w:val="4F9E5D76"/>
    <w:rsid w:val="531E7625"/>
    <w:rsid w:val="653F56CA"/>
    <w:rsid w:val="6C636971"/>
    <w:rsid w:val="74647C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nhideWhenUsed="0" w:uiPriority="1" w:semiHidden="0" w:name="heading 4" w:locked="1"/>
    <w:lsdException w:qFormat="1" w:unhideWhenUsed="0" w:uiPriority="1" w:semiHidden="0" w:name="heading 5" w:locked="1"/>
    <w:lsdException w:qFormat="1" w:uiPriority="0" w:name="heading 6" w:locked="1"/>
    <w:lsdException w:qFormat="1" w:uiPriority="0" w:name="heading 7" w:locked="1"/>
    <w:lsdException w:qFormat="1" w:uiPriority="0" w:name="heading 8" w:locked="1"/>
    <w:lsdException w:qFormat="1" w:unhideWhenUsed="0" w:uiPriority="9"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qFormat="1" w:unhideWhenUsed="0" w:uiPriority="1"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Medium Grid 2"/>
    <w:lsdException w:qFormat="1" w:unhideWhenUsed="0" w:uiPriority="1" w:semiHidden="0" w:name="List Paragraph"/>
  </w:latentStyles>
  <w:style w:type="paragraph" w:default="1" w:styleId="1">
    <w:name w:val="Normal"/>
    <w:qFormat/>
    <w:uiPriority w:val="0"/>
    <w:pPr>
      <w:widowControl w:val="0"/>
      <w:autoSpaceDE w:val="0"/>
      <w:autoSpaceDN w:val="0"/>
      <w:adjustRightInd w:val="0"/>
    </w:pPr>
    <w:rPr>
      <w:rFonts w:ascii="Times New Roman" w:hAnsi="Times New Roman" w:eastAsia="SimSun" w:cs="Times New Roman"/>
      <w:lang w:val="ru-RU" w:eastAsia="ru-RU" w:bidi="ar-SA"/>
    </w:rPr>
  </w:style>
  <w:style w:type="paragraph" w:styleId="2">
    <w:name w:val="heading 1"/>
    <w:basedOn w:val="1"/>
    <w:next w:val="1"/>
    <w:link w:val="30"/>
    <w:qFormat/>
    <w:locked/>
    <w:uiPriority w:val="1"/>
    <w:pPr>
      <w:keepNext/>
      <w:spacing w:before="240" w:after="60"/>
      <w:outlineLvl w:val="0"/>
    </w:pPr>
    <w:rPr>
      <w:rFonts w:ascii="Cambria" w:hAnsi="Cambria" w:eastAsia="Times New Roman" w:cs="Times New Roman"/>
      <w:b/>
      <w:bCs/>
      <w:kern w:val="32"/>
      <w:sz w:val="32"/>
      <w:szCs w:val="32"/>
    </w:rPr>
  </w:style>
  <w:style w:type="paragraph" w:styleId="3">
    <w:name w:val="heading 2"/>
    <w:basedOn w:val="1"/>
    <w:next w:val="1"/>
    <w:link w:val="31"/>
    <w:qFormat/>
    <w:locked/>
    <w:uiPriority w:val="1"/>
    <w:pPr>
      <w:keepNext/>
      <w:spacing w:before="240" w:after="60"/>
      <w:ind w:firstLine="720"/>
      <w:jc w:val="both"/>
      <w:outlineLvl w:val="1"/>
    </w:pPr>
    <w:rPr>
      <w:rFonts w:ascii="Cambria" w:hAnsi="Cambria"/>
      <w:b/>
      <w:bCs/>
      <w:i/>
      <w:iCs/>
      <w:sz w:val="28"/>
      <w:szCs w:val="28"/>
    </w:rPr>
  </w:style>
  <w:style w:type="paragraph" w:styleId="4">
    <w:name w:val="heading 3"/>
    <w:basedOn w:val="1"/>
    <w:next w:val="1"/>
    <w:link w:val="32"/>
    <w:qFormat/>
    <w:locked/>
    <w:uiPriority w:val="1"/>
    <w:pPr>
      <w:keepNext/>
      <w:spacing w:before="240" w:after="60"/>
      <w:outlineLvl w:val="2"/>
    </w:pPr>
    <w:rPr>
      <w:rFonts w:ascii="Cambria" w:hAnsi="Cambria"/>
      <w:b/>
      <w:bCs/>
      <w:sz w:val="26"/>
      <w:szCs w:val="26"/>
    </w:rPr>
  </w:style>
  <w:style w:type="paragraph" w:styleId="5">
    <w:name w:val="heading 4"/>
    <w:basedOn w:val="1"/>
    <w:next w:val="1"/>
    <w:link w:val="33"/>
    <w:qFormat/>
    <w:locked/>
    <w:uiPriority w:val="1"/>
    <w:pPr>
      <w:adjustRightInd/>
      <w:ind w:left="683"/>
      <w:outlineLvl w:val="3"/>
    </w:pPr>
    <w:rPr>
      <w:rFonts w:ascii="Cambria" w:hAnsi="Cambria" w:eastAsia="Cambria" w:cs="Cambria"/>
      <w:b/>
      <w:bCs/>
      <w:sz w:val="24"/>
      <w:szCs w:val="24"/>
      <w:lang w:val="en-US" w:eastAsia="en-US"/>
    </w:rPr>
  </w:style>
  <w:style w:type="paragraph" w:styleId="6">
    <w:name w:val="heading 5"/>
    <w:basedOn w:val="1"/>
    <w:next w:val="1"/>
    <w:link w:val="34"/>
    <w:qFormat/>
    <w:locked/>
    <w:uiPriority w:val="1"/>
    <w:pPr>
      <w:adjustRightInd/>
      <w:ind w:left="882" w:hanging="766"/>
      <w:outlineLvl w:val="4"/>
    </w:pPr>
    <w:rPr>
      <w:rFonts w:ascii="Cambria" w:hAnsi="Cambria" w:eastAsia="Cambria" w:cs="Cambria"/>
      <w:b/>
      <w:bCs/>
      <w:sz w:val="22"/>
      <w:szCs w:val="22"/>
      <w:lang w:val="en-US" w:eastAsia="en-US"/>
    </w:rPr>
  </w:style>
  <w:style w:type="paragraph" w:styleId="7">
    <w:name w:val="heading 9"/>
    <w:basedOn w:val="1"/>
    <w:next w:val="1"/>
    <w:link w:val="35"/>
    <w:qFormat/>
    <w:locked/>
    <w:uiPriority w:val="9"/>
    <w:pPr>
      <w:keepNext/>
      <w:widowControl/>
      <w:suppressAutoHyphens/>
      <w:autoSpaceDE/>
      <w:autoSpaceDN/>
      <w:adjustRightInd/>
      <w:jc w:val="both"/>
      <w:outlineLvl w:val="8"/>
    </w:pPr>
    <w:rPr>
      <w:rFonts w:ascii="Cambria" w:hAnsi="Cambria"/>
      <w:sz w:val="22"/>
      <w:szCs w:val="22"/>
    </w:rPr>
  </w:style>
  <w:style w:type="character" w:default="1" w:styleId="8">
    <w:name w:val="Default Paragraph Font"/>
    <w:unhideWhenUsed/>
    <w:uiPriority w:val="1"/>
  </w:style>
  <w:style w:type="table" w:default="1" w:styleId="9">
    <w:name w:val="Normal Table"/>
    <w:unhideWhenUsed/>
    <w:uiPriority w:val="99"/>
    <w:tblPr>
      <w:tblCellMar>
        <w:top w:w="0" w:type="dxa"/>
        <w:left w:w="108" w:type="dxa"/>
        <w:bottom w:w="0" w:type="dxa"/>
        <w:right w:w="108" w:type="dxa"/>
      </w:tblCellMar>
    </w:tblPr>
  </w:style>
  <w:style w:type="character" w:styleId="10">
    <w:name w:val="FollowedHyperlink"/>
    <w:qFormat/>
    <w:uiPriority w:val="99"/>
    <w:rPr>
      <w:color w:val="800080"/>
      <w:u w:val="single"/>
    </w:rPr>
  </w:style>
  <w:style w:type="character" w:styleId="11">
    <w:name w:val="footnote reference"/>
    <w:semiHidden/>
    <w:qFormat/>
    <w:uiPriority w:val="99"/>
    <w:rPr>
      <w:rFonts w:cs="Times New Roman"/>
      <w:vertAlign w:val="superscript"/>
    </w:rPr>
  </w:style>
  <w:style w:type="character" w:styleId="12">
    <w:name w:val="annotation reference"/>
    <w:qFormat/>
    <w:uiPriority w:val="99"/>
    <w:rPr>
      <w:rFonts w:cs="Times New Roman"/>
      <w:sz w:val="16"/>
    </w:rPr>
  </w:style>
  <w:style w:type="character" w:styleId="13">
    <w:name w:val="Hyperlink"/>
    <w:qFormat/>
    <w:uiPriority w:val="99"/>
    <w:rPr>
      <w:rFonts w:cs="Times New Roman"/>
      <w:color w:val="0000FF"/>
      <w:u w:val="single"/>
    </w:rPr>
  </w:style>
  <w:style w:type="character" w:styleId="14">
    <w:name w:val="page number"/>
    <w:qFormat/>
    <w:uiPriority w:val="0"/>
    <w:rPr>
      <w:rFonts w:cs="Times New Roman"/>
    </w:rPr>
  </w:style>
  <w:style w:type="paragraph" w:styleId="15">
    <w:name w:val="Balloon Text"/>
    <w:basedOn w:val="1"/>
    <w:link w:val="36"/>
    <w:qFormat/>
    <w:uiPriority w:val="99"/>
    <w:rPr>
      <w:rFonts w:ascii="Tahoma" w:hAnsi="Tahoma"/>
      <w:sz w:val="16"/>
    </w:rPr>
  </w:style>
  <w:style w:type="paragraph" w:styleId="16">
    <w:name w:val="List Continue"/>
    <w:basedOn w:val="1"/>
    <w:qFormat/>
    <w:uiPriority w:val="0"/>
    <w:pPr>
      <w:numPr>
        <w:ilvl w:val="0"/>
        <w:numId w:val="1"/>
      </w:numPr>
    </w:pPr>
  </w:style>
  <w:style w:type="paragraph" w:styleId="17">
    <w:name w:val="annotation text"/>
    <w:basedOn w:val="1"/>
    <w:link w:val="37"/>
    <w:qFormat/>
    <w:uiPriority w:val="99"/>
  </w:style>
  <w:style w:type="paragraph" w:styleId="18">
    <w:name w:val="annotation subject"/>
    <w:basedOn w:val="17"/>
    <w:next w:val="17"/>
    <w:link w:val="38"/>
    <w:qFormat/>
    <w:uiPriority w:val="99"/>
    <w:rPr>
      <w:b/>
    </w:rPr>
  </w:style>
  <w:style w:type="paragraph" w:styleId="19">
    <w:name w:val="footnote text"/>
    <w:basedOn w:val="1"/>
    <w:link w:val="39"/>
    <w:semiHidden/>
    <w:qFormat/>
    <w:uiPriority w:val="99"/>
  </w:style>
  <w:style w:type="paragraph" w:styleId="20">
    <w:name w:val="header"/>
    <w:basedOn w:val="1"/>
    <w:link w:val="40"/>
    <w:qFormat/>
    <w:uiPriority w:val="99"/>
    <w:pPr>
      <w:tabs>
        <w:tab w:val="center" w:pos="4677"/>
        <w:tab w:val="right" w:pos="9355"/>
      </w:tabs>
    </w:pPr>
  </w:style>
  <w:style w:type="paragraph" w:styleId="21">
    <w:name w:val="Body Text"/>
    <w:basedOn w:val="1"/>
    <w:link w:val="41"/>
    <w:qFormat/>
    <w:uiPriority w:val="1"/>
    <w:pPr>
      <w:adjustRightInd/>
    </w:pPr>
    <w:rPr>
      <w:rFonts w:ascii="Cambria" w:hAnsi="Cambria" w:eastAsia="Cambria" w:cs="Cambria"/>
      <w:sz w:val="22"/>
      <w:szCs w:val="22"/>
      <w:lang w:val="en-US" w:eastAsia="en-US"/>
    </w:rPr>
  </w:style>
  <w:style w:type="paragraph" w:styleId="22">
    <w:name w:val="toc 1"/>
    <w:basedOn w:val="1"/>
    <w:next w:val="1"/>
    <w:qFormat/>
    <w:uiPriority w:val="1"/>
    <w:pPr>
      <w:adjustRightInd/>
      <w:spacing w:before="98" w:line="250" w:lineRule="exact"/>
      <w:ind w:left="797" w:hanging="681"/>
    </w:pPr>
    <w:rPr>
      <w:rFonts w:ascii="Cambria" w:hAnsi="Cambria" w:eastAsia="Cambria" w:cs="Cambria"/>
      <w:b/>
      <w:bCs/>
      <w:sz w:val="22"/>
      <w:szCs w:val="22"/>
      <w:lang w:val="en-US" w:eastAsia="en-US"/>
    </w:rPr>
  </w:style>
  <w:style w:type="paragraph" w:styleId="23">
    <w:name w:val="toc 3"/>
    <w:basedOn w:val="1"/>
    <w:next w:val="1"/>
    <w:qFormat/>
    <w:uiPriority w:val="1"/>
    <w:pPr>
      <w:adjustRightInd/>
      <w:spacing w:line="242" w:lineRule="exact"/>
      <w:ind w:left="1477" w:hanging="681"/>
    </w:pPr>
    <w:rPr>
      <w:rFonts w:ascii="Cambria" w:hAnsi="Cambria" w:eastAsia="Cambria" w:cs="Cambria"/>
      <w:sz w:val="22"/>
      <w:szCs w:val="22"/>
      <w:lang w:val="en-US" w:eastAsia="en-US"/>
    </w:rPr>
  </w:style>
  <w:style w:type="paragraph" w:styleId="24">
    <w:name w:val="toc 2"/>
    <w:basedOn w:val="1"/>
    <w:next w:val="1"/>
    <w:qFormat/>
    <w:uiPriority w:val="1"/>
    <w:pPr>
      <w:adjustRightInd/>
      <w:spacing w:before="98" w:line="250" w:lineRule="exact"/>
      <w:ind w:left="1477" w:hanging="681"/>
    </w:pPr>
    <w:rPr>
      <w:rFonts w:ascii="Cambria" w:hAnsi="Cambria" w:eastAsia="Cambria" w:cs="Cambria"/>
      <w:b/>
      <w:bCs/>
      <w:sz w:val="22"/>
      <w:szCs w:val="22"/>
      <w:lang w:val="en-US" w:eastAsia="en-US"/>
    </w:rPr>
  </w:style>
  <w:style w:type="paragraph" w:styleId="25">
    <w:name w:val="toc 4"/>
    <w:basedOn w:val="1"/>
    <w:next w:val="1"/>
    <w:qFormat/>
    <w:uiPriority w:val="1"/>
    <w:pPr>
      <w:adjustRightInd/>
      <w:spacing w:line="242" w:lineRule="exact"/>
      <w:ind w:left="2271" w:hanging="795"/>
    </w:pPr>
    <w:rPr>
      <w:rFonts w:ascii="Cambria" w:hAnsi="Cambria" w:eastAsia="Cambria" w:cs="Cambria"/>
      <w:sz w:val="22"/>
      <w:szCs w:val="22"/>
      <w:lang w:val="en-US" w:eastAsia="en-US"/>
    </w:rPr>
  </w:style>
  <w:style w:type="paragraph" w:styleId="26">
    <w:name w:val="toc 5"/>
    <w:basedOn w:val="1"/>
    <w:next w:val="1"/>
    <w:qFormat/>
    <w:uiPriority w:val="1"/>
    <w:pPr>
      <w:adjustRightInd/>
      <w:spacing w:line="242" w:lineRule="exact"/>
      <w:ind w:left="2951" w:hanging="795"/>
    </w:pPr>
    <w:rPr>
      <w:rFonts w:ascii="Cambria" w:hAnsi="Cambria" w:eastAsia="Cambria" w:cs="Cambria"/>
      <w:sz w:val="22"/>
      <w:szCs w:val="22"/>
      <w:lang w:val="en-US" w:eastAsia="en-US"/>
    </w:rPr>
  </w:style>
  <w:style w:type="paragraph" w:styleId="27">
    <w:name w:val="footer"/>
    <w:basedOn w:val="1"/>
    <w:link w:val="42"/>
    <w:qFormat/>
    <w:uiPriority w:val="99"/>
    <w:pPr>
      <w:tabs>
        <w:tab w:val="center" w:pos="4677"/>
        <w:tab w:val="right" w:pos="9355"/>
      </w:tabs>
    </w:pPr>
  </w:style>
  <w:style w:type="paragraph" w:styleId="28">
    <w:name w:val="List Number"/>
    <w:basedOn w:val="1"/>
    <w:semiHidden/>
    <w:unhideWhenUsed/>
    <w:qFormat/>
    <w:uiPriority w:val="99"/>
    <w:pPr>
      <w:numPr>
        <w:ilvl w:val="0"/>
        <w:numId w:val="2"/>
      </w:numPr>
    </w:pPr>
  </w:style>
  <w:style w:type="table" w:styleId="29">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Заголовок 1 Знак"/>
    <w:link w:val="2"/>
    <w:qFormat/>
    <w:uiPriority w:val="1"/>
    <w:rPr>
      <w:rFonts w:ascii="Cambria" w:hAnsi="Cambria" w:eastAsia="Times New Roman" w:cs="Times New Roman"/>
      <w:b/>
      <w:bCs/>
      <w:kern w:val="32"/>
      <w:sz w:val="32"/>
      <w:szCs w:val="32"/>
    </w:rPr>
  </w:style>
  <w:style w:type="character" w:customStyle="1" w:styleId="31">
    <w:name w:val="Заголовок 2 Знак"/>
    <w:link w:val="3"/>
    <w:qFormat/>
    <w:locked/>
    <w:uiPriority w:val="1"/>
    <w:rPr>
      <w:rFonts w:ascii="Cambria" w:hAnsi="Cambria" w:cs="Times New Roman"/>
      <w:b/>
      <w:bCs/>
      <w:i/>
      <w:iCs/>
      <w:sz w:val="28"/>
      <w:szCs w:val="28"/>
    </w:rPr>
  </w:style>
  <w:style w:type="character" w:customStyle="1" w:styleId="32">
    <w:name w:val="Заголовок 3 Знак"/>
    <w:link w:val="4"/>
    <w:qFormat/>
    <w:uiPriority w:val="1"/>
    <w:rPr>
      <w:rFonts w:ascii="Cambria" w:hAnsi="Cambria" w:eastAsia="Times New Roman" w:cs="Times New Roman"/>
      <w:b/>
      <w:bCs/>
      <w:sz w:val="26"/>
      <w:szCs w:val="26"/>
    </w:rPr>
  </w:style>
  <w:style w:type="character" w:customStyle="1" w:styleId="33">
    <w:name w:val="Заголовок 4 Знак"/>
    <w:link w:val="5"/>
    <w:qFormat/>
    <w:uiPriority w:val="1"/>
    <w:rPr>
      <w:rFonts w:ascii="Cambria" w:hAnsi="Cambria" w:eastAsia="Cambria" w:cs="Cambria"/>
      <w:b/>
      <w:bCs/>
      <w:sz w:val="24"/>
      <w:szCs w:val="24"/>
      <w:lang w:val="en-US" w:eastAsia="en-US"/>
    </w:rPr>
  </w:style>
  <w:style w:type="character" w:customStyle="1" w:styleId="34">
    <w:name w:val="Заголовок 5 Знак"/>
    <w:link w:val="6"/>
    <w:qFormat/>
    <w:uiPriority w:val="1"/>
    <w:rPr>
      <w:rFonts w:ascii="Cambria" w:hAnsi="Cambria" w:eastAsia="Cambria" w:cs="Cambria"/>
      <w:b/>
      <w:bCs/>
      <w:sz w:val="22"/>
      <w:szCs w:val="22"/>
      <w:lang w:val="en-US" w:eastAsia="en-US"/>
    </w:rPr>
  </w:style>
  <w:style w:type="character" w:customStyle="1" w:styleId="35">
    <w:name w:val="Заголовок 9 Знак"/>
    <w:link w:val="7"/>
    <w:semiHidden/>
    <w:qFormat/>
    <w:locked/>
    <w:uiPriority w:val="9"/>
    <w:rPr>
      <w:rFonts w:ascii="Cambria" w:hAnsi="Cambria" w:eastAsia="Times New Roman" w:cs="Times New Roman"/>
      <w:sz w:val="22"/>
      <w:szCs w:val="22"/>
    </w:rPr>
  </w:style>
  <w:style w:type="character" w:customStyle="1" w:styleId="36">
    <w:name w:val="Текст выноски Знак"/>
    <w:link w:val="15"/>
    <w:qFormat/>
    <w:locked/>
    <w:uiPriority w:val="99"/>
    <w:rPr>
      <w:rFonts w:ascii="Tahoma" w:hAnsi="Tahoma" w:cs="Times New Roman"/>
      <w:sz w:val="16"/>
    </w:rPr>
  </w:style>
  <w:style w:type="character" w:customStyle="1" w:styleId="37">
    <w:name w:val="Текст примечания Знак"/>
    <w:link w:val="17"/>
    <w:qFormat/>
    <w:locked/>
    <w:uiPriority w:val="99"/>
    <w:rPr>
      <w:rFonts w:cs="Times New Roman"/>
    </w:rPr>
  </w:style>
  <w:style w:type="character" w:customStyle="1" w:styleId="38">
    <w:name w:val="Тема примечания Знак"/>
    <w:link w:val="18"/>
    <w:qFormat/>
    <w:locked/>
    <w:uiPriority w:val="99"/>
    <w:rPr>
      <w:rFonts w:cs="Times New Roman"/>
      <w:b/>
    </w:rPr>
  </w:style>
  <w:style w:type="character" w:customStyle="1" w:styleId="39">
    <w:name w:val="Текст сноски Знак"/>
    <w:link w:val="19"/>
    <w:semiHidden/>
    <w:qFormat/>
    <w:locked/>
    <w:uiPriority w:val="99"/>
    <w:rPr>
      <w:rFonts w:cs="Times New Roman"/>
    </w:rPr>
  </w:style>
  <w:style w:type="character" w:customStyle="1" w:styleId="40">
    <w:name w:val="Верхний колонтитул Знак"/>
    <w:link w:val="20"/>
    <w:qFormat/>
    <w:locked/>
    <w:uiPriority w:val="99"/>
    <w:rPr>
      <w:rFonts w:cs="Times New Roman"/>
      <w:sz w:val="20"/>
      <w:szCs w:val="20"/>
    </w:rPr>
  </w:style>
  <w:style w:type="character" w:customStyle="1" w:styleId="41">
    <w:name w:val="Основной текст Знак"/>
    <w:link w:val="21"/>
    <w:qFormat/>
    <w:uiPriority w:val="1"/>
    <w:rPr>
      <w:rFonts w:ascii="Cambria" w:hAnsi="Cambria" w:eastAsia="Cambria" w:cs="Cambria"/>
      <w:sz w:val="22"/>
      <w:szCs w:val="22"/>
      <w:lang w:val="en-US" w:eastAsia="en-US"/>
    </w:rPr>
  </w:style>
  <w:style w:type="character" w:customStyle="1" w:styleId="42">
    <w:name w:val="Нижний колонтитул Знак"/>
    <w:link w:val="27"/>
    <w:qFormat/>
    <w:locked/>
    <w:uiPriority w:val="99"/>
    <w:rPr>
      <w:rFonts w:cs="Times New Roman"/>
      <w:sz w:val="20"/>
      <w:szCs w:val="20"/>
    </w:rPr>
  </w:style>
  <w:style w:type="paragraph" w:customStyle="1" w:styleId="43">
    <w:name w:val="CM15"/>
    <w:basedOn w:val="1"/>
    <w:next w:val="1"/>
    <w:qFormat/>
    <w:uiPriority w:val="99"/>
    <w:pPr>
      <w:spacing w:after="323"/>
    </w:pPr>
    <w:rPr>
      <w:sz w:val="24"/>
      <w:szCs w:val="24"/>
    </w:rPr>
  </w:style>
  <w:style w:type="paragraph" w:customStyle="1" w:styleId="44">
    <w:name w:val="Default"/>
    <w:qFormat/>
    <w:uiPriority w:val="0"/>
    <w:pPr>
      <w:widowControl w:val="0"/>
      <w:autoSpaceDE w:val="0"/>
      <w:autoSpaceDN w:val="0"/>
      <w:adjustRightInd w:val="0"/>
    </w:pPr>
    <w:rPr>
      <w:rFonts w:ascii="Times New Roman" w:hAnsi="Times New Roman" w:eastAsia="SimSun" w:cs="Times New Roman"/>
      <w:color w:val="000000"/>
      <w:sz w:val="24"/>
      <w:szCs w:val="24"/>
      <w:lang w:val="ru-RU" w:eastAsia="ru-RU" w:bidi="ar-SA"/>
    </w:rPr>
  </w:style>
  <w:style w:type="paragraph" w:customStyle="1" w:styleId="45">
    <w:name w:val="Style14"/>
    <w:basedOn w:val="1"/>
    <w:qFormat/>
    <w:uiPriority w:val="99"/>
    <w:rPr>
      <w:rFonts w:ascii="Arial Unicode MS" w:hAnsi="Calibri" w:cs="Arial Unicode MS"/>
      <w:sz w:val="24"/>
      <w:szCs w:val="24"/>
    </w:rPr>
  </w:style>
  <w:style w:type="character" w:customStyle="1" w:styleId="46">
    <w:name w:val="Font Style51"/>
    <w:qFormat/>
    <w:uiPriority w:val="99"/>
    <w:rPr>
      <w:rFonts w:ascii="Arial Unicode MS" w:eastAsia="Times New Roman"/>
      <w:b/>
      <w:color w:val="000000"/>
      <w:sz w:val="28"/>
    </w:rPr>
  </w:style>
  <w:style w:type="paragraph" w:customStyle="1" w:styleId="47">
    <w:name w:val="Style2"/>
    <w:basedOn w:val="1"/>
    <w:qFormat/>
    <w:uiPriority w:val="99"/>
    <w:rPr>
      <w:rFonts w:ascii="Arial Unicode MS" w:hAnsi="Calibri" w:cs="Arial Unicode MS"/>
      <w:sz w:val="24"/>
      <w:szCs w:val="24"/>
    </w:rPr>
  </w:style>
  <w:style w:type="character" w:customStyle="1" w:styleId="48">
    <w:name w:val="Font Style36"/>
    <w:qFormat/>
    <w:uiPriority w:val="99"/>
    <w:rPr>
      <w:rFonts w:ascii="Arial" w:hAnsi="Arial"/>
      <w:b/>
      <w:color w:val="000000"/>
      <w:sz w:val="42"/>
    </w:rPr>
  </w:style>
  <w:style w:type="paragraph" w:customStyle="1" w:styleId="49">
    <w:name w:val="Style23"/>
    <w:basedOn w:val="1"/>
    <w:qFormat/>
    <w:uiPriority w:val="99"/>
    <w:pPr>
      <w:jc w:val="both"/>
    </w:pPr>
    <w:rPr>
      <w:rFonts w:ascii="Arial" w:hAnsi="Arial" w:cs="Arial"/>
      <w:sz w:val="24"/>
      <w:szCs w:val="24"/>
    </w:rPr>
  </w:style>
  <w:style w:type="character" w:customStyle="1" w:styleId="50">
    <w:name w:val="Font Style60"/>
    <w:qFormat/>
    <w:uiPriority w:val="99"/>
    <w:rPr>
      <w:rFonts w:ascii="Arial" w:hAnsi="Arial"/>
      <w:i/>
      <w:color w:val="000000"/>
      <w:sz w:val="18"/>
    </w:rPr>
  </w:style>
  <w:style w:type="character" w:customStyle="1" w:styleId="51">
    <w:name w:val="Font Style62"/>
    <w:qFormat/>
    <w:uiPriority w:val="99"/>
    <w:rPr>
      <w:rFonts w:ascii="Arial" w:hAnsi="Arial"/>
      <w:color w:val="000000"/>
      <w:sz w:val="18"/>
    </w:rPr>
  </w:style>
  <w:style w:type="paragraph" w:customStyle="1" w:styleId="52">
    <w:name w:val="Style16"/>
    <w:basedOn w:val="1"/>
    <w:qFormat/>
    <w:uiPriority w:val="99"/>
    <w:pPr>
      <w:jc w:val="both"/>
    </w:pPr>
    <w:rPr>
      <w:rFonts w:ascii="Arial" w:hAnsi="Arial" w:cs="Arial"/>
      <w:sz w:val="24"/>
      <w:szCs w:val="24"/>
    </w:rPr>
  </w:style>
  <w:style w:type="paragraph" w:customStyle="1" w:styleId="53">
    <w:name w:val="Style19"/>
    <w:basedOn w:val="1"/>
    <w:qFormat/>
    <w:uiPriority w:val="99"/>
    <w:pPr>
      <w:jc w:val="both"/>
    </w:pPr>
    <w:rPr>
      <w:rFonts w:ascii="Arial" w:hAnsi="Arial" w:cs="Arial"/>
      <w:sz w:val="24"/>
      <w:szCs w:val="24"/>
    </w:rPr>
  </w:style>
  <w:style w:type="paragraph" w:customStyle="1" w:styleId="54">
    <w:name w:val="Style20"/>
    <w:basedOn w:val="1"/>
    <w:qFormat/>
    <w:uiPriority w:val="99"/>
    <w:pPr>
      <w:jc w:val="both"/>
    </w:pPr>
    <w:rPr>
      <w:rFonts w:ascii="Arial" w:hAnsi="Arial" w:cs="Arial"/>
      <w:sz w:val="24"/>
      <w:szCs w:val="24"/>
    </w:rPr>
  </w:style>
  <w:style w:type="character" w:customStyle="1" w:styleId="55">
    <w:name w:val="Font Style57"/>
    <w:qFormat/>
    <w:uiPriority w:val="99"/>
    <w:rPr>
      <w:rFonts w:ascii="Arial" w:hAnsi="Arial"/>
      <w:b/>
      <w:color w:val="000000"/>
      <w:sz w:val="22"/>
    </w:rPr>
  </w:style>
  <w:style w:type="character" w:customStyle="1" w:styleId="56">
    <w:name w:val="Font Style59"/>
    <w:qFormat/>
    <w:uiPriority w:val="99"/>
    <w:rPr>
      <w:rFonts w:ascii="Arial" w:hAnsi="Arial"/>
      <w:b/>
      <w:color w:val="000000"/>
      <w:sz w:val="26"/>
    </w:rPr>
  </w:style>
  <w:style w:type="character" w:customStyle="1" w:styleId="57">
    <w:name w:val="Font Style63"/>
    <w:qFormat/>
    <w:uiPriority w:val="99"/>
    <w:rPr>
      <w:rFonts w:ascii="Arial" w:hAnsi="Arial"/>
      <w:b/>
      <w:color w:val="000000"/>
      <w:sz w:val="18"/>
    </w:rPr>
  </w:style>
  <w:style w:type="paragraph" w:customStyle="1" w:styleId="58">
    <w:name w:val="Style6"/>
    <w:basedOn w:val="1"/>
    <w:qFormat/>
    <w:uiPriority w:val="99"/>
    <w:rPr>
      <w:rFonts w:ascii="Arial Unicode MS" w:hAnsi="Calibri" w:cs="Arial Unicode MS"/>
      <w:sz w:val="24"/>
      <w:szCs w:val="24"/>
    </w:rPr>
  </w:style>
  <w:style w:type="paragraph" w:customStyle="1" w:styleId="59">
    <w:name w:val="Style12"/>
    <w:basedOn w:val="1"/>
    <w:qFormat/>
    <w:uiPriority w:val="99"/>
    <w:rPr>
      <w:rFonts w:ascii="Arial Unicode MS" w:hAnsi="Calibri" w:cs="Arial Unicode MS"/>
      <w:sz w:val="24"/>
      <w:szCs w:val="24"/>
    </w:rPr>
  </w:style>
  <w:style w:type="character" w:customStyle="1" w:styleId="60">
    <w:name w:val="Font Style54"/>
    <w:qFormat/>
    <w:uiPriority w:val="99"/>
    <w:rPr>
      <w:rFonts w:ascii="Arial Unicode MS" w:eastAsia="Times New Roman"/>
      <w:color w:val="000000"/>
      <w:sz w:val="16"/>
    </w:rPr>
  </w:style>
  <w:style w:type="character" w:customStyle="1" w:styleId="61">
    <w:name w:val="Font Style66"/>
    <w:qFormat/>
    <w:uiPriority w:val="99"/>
    <w:rPr>
      <w:rFonts w:ascii="Arial Unicode MS" w:eastAsia="Times New Roman"/>
      <w:color w:val="000000"/>
      <w:sz w:val="26"/>
    </w:rPr>
  </w:style>
  <w:style w:type="character" w:customStyle="1" w:styleId="62">
    <w:name w:val="Font Style74"/>
    <w:qFormat/>
    <w:uiPriority w:val="99"/>
    <w:rPr>
      <w:rFonts w:ascii="Arial Unicode MS" w:eastAsia="Times New Roman"/>
      <w:color w:val="000000"/>
      <w:sz w:val="18"/>
    </w:rPr>
  </w:style>
  <w:style w:type="character" w:customStyle="1" w:styleId="63">
    <w:name w:val="Font Style65"/>
    <w:qFormat/>
    <w:uiPriority w:val="99"/>
    <w:rPr>
      <w:rFonts w:ascii="Arial Unicode MS" w:eastAsia="Times New Roman"/>
      <w:b/>
      <w:color w:val="000000"/>
      <w:sz w:val="28"/>
    </w:rPr>
  </w:style>
  <w:style w:type="paragraph" w:customStyle="1" w:styleId="64">
    <w:name w:val="Style13"/>
    <w:basedOn w:val="1"/>
    <w:qFormat/>
    <w:uiPriority w:val="99"/>
    <w:rPr>
      <w:rFonts w:ascii="Arial Unicode MS" w:hAnsi="Calibri" w:cs="Arial Unicode MS"/>
      <w:sz w:val="24"/>
      <w:szCs w:val="24"/>
    </w:rPr>
  </w:style>
  <w:style w:type="character" w:customStyle="1" w:styleId="65">
    <w:name w:val="Font Style71"/>
    <w:qFormat/>
    <w:uiPriority w:val="99"/>
    <w:rPr>
      <w:rFonts w:ascii="Arial Unicode MS" w:eastAsia="Times New Roman"/>
      <w:b/>
      <w:color w:val="000000"/>
      <w:sz w:val="18"/>
    </w:rPr>
  </w:style>
  <w:style w:type="paragraph" w:customStyle="1" w:styleId="66">
    <w:name w:val="Style25"/>
    <w:basedOn w:val="1"/>
    <w:qFormat/>
    <w:uiPriority w:val="99"/>
    <w:rPr>
      <w:rFonts w:ascii="Arial Unicode MS" w:hAnsi="Calibri" w:cs="Arial Unicode MS"/>
      <w:sz w:val="24"/>
      <w:szCs w:val="24"/>
    </w:rPr>
  </w:style>
  <w:style w:type="character" w:customStyle="1" w:styleId="67">
    <w:name w:val="Font Style39"/>
    <w:qFormat/>
    <w:uiPriority w:val="99"/>
    <w:rPr>
      <w:rFonts w:ascii="Arial" w:hAnsi="Arial"/>
      <w:color w:val="000000"/>
      <w:sz w:val="18"/>
    </w:rPr>
  </w:style>
  <w:style w:type="paragraph" w:customStyle="1" w:styleId="68">
    <w:name w:val="Знак Знак Знак Знак"/>
    <w:basedOn w:val="1"/>
    <w:qFormat/>
    <w:uiPriority w:val="99"/>
    <w:pPr>
      <w:widowControl/>
      <w:autoSpaceDE/>
      <w:autoSpaceDN/>
      <w:adjustRightInd/>
      <w:spacing w:after="160" w:line="240" w:lineRule="exact"/>
    </w:pPr>
    <w:rPr>
      <w:rFonts w:eastAsia="SimSun"/>
      <w:b/>
      <w:sz w:val="28"/>
      <w:szCs w:val="24"/>
      <w:lang w:val="en-US" w:eastAsia="en-US"/>
    </w:rPr>
  </w:style>
  <w:style w:type="paragraph" w:customStyle="1" w:styleId="69">
    <w:name w:val="Style21"/>
    <w:basedOn w:val="1"/>
    <w:qFormat/>
    <w:uiPriority w:val="99"/>
    <w:rPr>
      <w:rFonts w:ascii="Arial Unicode MS" w:hAnsi="Calibri" w:cs="Arial Unicode MS"/>
      <w:sz w:val="24"/>
      <w:szCs w:val="24"/>
    </w:rPr>
  </w:style>
  <w:style w:type="character" w:customStyle="1" w:styleId="70">
    <w:name w:val="Font Style55"/>
    <w:qFormat/>
    <w:uiPriority w:val="99"/>
    <w:rPr>
      <w:rFonts w:ascii="Arial Unicode MS" w:eastAsia="Times New Roman"/>
      <w:color w:val="000000"/>
      <w:sz w:val="16"/>
    </w:rPr>
  </w:style>
  <w:style w:type="character" w:customStyle="1" w:styleId="71">
    <w:name w:val="Font Style64"/>
    <w:qFormat/>
    <w:uiPriority w:val="99"/>
    <w:rPr>
      <w:rFonts w:ascii="Arial" w:hAnsi="Arial"/>
      <w:color w:val="000000"/>
      <w:sz w:val="16"/>
    </w:rPr>
  </w:style>
  <w:style w:type="paragraph" w:customStyle="1" w:styleId="72">
    <w:name w:val="Style4"/>
    <w:basedOn w:val="1"/>
    <w:qFormat/>
    <w:uiPriority w:val="99"/>
    <w:pPr>
      <w:jc w:val="both"/>
    </w:pPr>
    <w:rPr>
      <w:rFonts w:ascii="Arial" w:hAnsi="Arial" w:cs="Arial"/>
      <w:sz w:val="24"/>
      <w:szCs w:val="24"/>
    </w:rPr>
  </w:style>
  <w:style w:type="paragraph" w:customStyle="1" w:styleId="73">
    <w:name w:val="Style15"/>
    <w:basedOn w:val="1"/>
    <w:qFormat/>
    <w:uiPriority w:val="99"/>
    <w:pPr>
      <w:jc w:val="both"/>
    </w:pPr>
    <w:rPr>
      <w:rFonts w:ascii="Arial" w:hAnsi="Arial" w:cs="Arial"/>
      <w:sz w:val="24"/>
      <w:szCs w:val="24"/>
    </w:rPr>
  </w:style>
  <w:style w:type="character" w:customStyle="1" w:styleId="74">
    <w:name w:val="Font Style47"/>
    <w:qFormat/>
    <w:uiPriority w:val="99"/>
    <w:rPr>
      <w:rFonts w:ascii="Times New Roman" w:hAnsi="Times New Roman"/>
      <w:b/>
      <w:sz w:val="26"/>
    </w:rPr>
  </w:style>
  <w:style w:type="character" w:customStyle="1" w:styleId="75">
    <w:name w:val="Font Style48"/>
    <w:qFormat/>
    <w:uiPriority w:val="99"/>
    <w:rPr>
      <w:rFonts w:ascii="Times New Roman" w:hAnsi="Times New Roman"/>
      <w:sz w:val="26"/>
    </w:rPr>
  </w:style>
  <w:style w:type="paragraph" w:customStyle="1" w:styleId="76">
    <w:name w:val="Style3"/>
    <w:basedOn w:val="1"/>
    <w:qFormat/>
    <w:uiPriority w:val="99"/>
    <w:pPr>
      <w:spacing w:line="480" w:lineRule="exact"/>
      <w:jc w:val="center"/>
    </w:pPr>
    <w:rPr>
      <w:sz w:val="24"/>
      <w:szCs w:val="24"/>
    </w:rPr>
  </w:style>
  <w:style w:type="paragraph" w:customStyle="1" w:styleId="77">
    <w:name w:val="Style7"/>
    <w:basedOn w:val="1"/>
    <w:qFormat/>
    <w:uiPriority w:val="99"/>
    <w:pPr>
      <w:spacing w:line="322" w:lineRule="exact"/>
    </w:pPr>
    <w:rPr>
      <w:sz w:val="24"/>
      <w:szCs w:val="24"/>
    </w:rPr>
  </w:style>
  <w:style w:type="paragraph" w:customStyle="1" w:styleId="78">
    <w:name w:val="Style24"/>
    <w:basedOn w:val="1"/>
    <w:qFormat/>
    <w:uiPriority w:val="99"/>
    <w:pPr>
      <w:jc w:val="both"/>
    </w:pPr>
    <w:rPr>
      <w:sz w:val="24"/>
      <w:szCs w:val="24"/>
    </w:rPr>
  </w:style>
  <w:style w:type="paragraph" w:customStyle="1" w:styleId="79">
    <w:name w:val="Style26"/>
    <w:basedOn w:val="1"/>
    <w:qFormat/>
    <w:uiPriority w:val="99"/>
    <w:pPr>
      <w:spacing w:line="483" w:lineRule="exact"/>
      <w:ind w:hanging="710"/>
      <w:jc w:val="both"/>
    </w:pPr>
    <w:rPr>
      <w:sz w:val="24"/>
      <w:szCs w:val="24"/>
    </w:rPr>
  </w:style>
  <w:style w:type="paragraph" w:customStyle="1" w:styleId="80">
    <w:name w:val="Style27"/>
    <w:basedOn w:val="1"/>
    <w:qFormat/>
    <w:uiPriority w:val="99"/>
    <w:pPr>
      <w:spacing w:line="487" w:lineRule="exact"/>
      <w:ind w:hanging="720"/>
      <w:jc w:val="both"/>
    </w:pPr>
    <w:rPr>
      <w:sz w:val="24"/>
      <w:szCs w:val="24"/>
    </w:rPr>
  </w:style>
  <w:style w:type="paragraph" w:customStyle="1" w:styleId="81">
    <w:name w:val="Style28"/>
    <w:basedOn w:val="1"/>
    <w:qFormat/>
    <w:uiPriority w:val="99"/>
    <w:pPr>
      <w:spacing w:line="229" w:lineRule="exact"/>
      <w:ind w:firstLine="67"/>
    </w:pPr>
    <w:rPr>
      <w:sz w:val="24"/>
      <w:szCs w:val="24"/>
    </w:rPr>
  </w:style>
  <w:style w:type="paragraph" w:customStyle="1" w:styleId="82">
    <w:name w:val="Style30"/>
    <w:basedOn w:val="1"/>
    <w:qFormat/>
    <w:uiPriority w:val="99"/>
    <w:rPr>
      <w:sz w:val="24"/>
      <w:szCs w:val="24"/>
    </w:rPr>
  </w:style>
  <w:style w:type="paragraph" w:customStyle="1" w:styleId="83">
    <w:name w:val="Style32"/>
    <w:basedOn w:val="1"/>
    <w:qFormat/>
    <w:uiPriority w:val="99"/>
    <w:pPr>
      <w:spacing w:line="413" w:lineRule="exact"/>
      <w:ind w:firstLine="710"/>
      <w:jc w:val="both"/>
    </w:pPr>
    <w:rPr>
      <w:sz w:val="24"/>
      <w:szCs w:val="24"/>
    </w:rPr>
  </w:style>
  <w:style w:type="paragraph" w:customStyle="1" w:styleId="84">
    <w:name w:val="Style35"/>
    <w:basedOn w:val="1"/>
    <w:qFormat/>
    <w:uiPriority w:val="99"/>
    <w:rPr>
      <w:sz w:val="24"/>
      <w:szCs w:val="24"/>
    </w:rPr>
  </w:style>
  <w:style w:type="character" w:customStyle="1" w:styleId="85">
    <w:name w:val="Font Style49"/>
    <w:qFormat/>
    <w:uiPriority w:val="99"/>
    <w:rPr>
      <w:rFonts w:ascii="Times New Roman" w:hAnsi="Times New Roman"/>
      <w:b/>
      <w:sz w:val="32"/>
    </w:rPr>
  </w:style>
  <w:style w:type="character" w:customStyle="1" w:styleId="86">
    <w:name w:val="Font Style73"/>
    <w:qFormat/>
    <w:uiPriority w:val="99"/>
    <w:rPr>
      <w:rFonts w:ascii="Arial Unicode MS" w:eastAsia="Times New Roman"/>
      <w:color w:val="000000"/>
      <w:sz w:val="16"/>
    </w:rPr>
  </w:style>
  <w:style w:type="paragraph" w:customStyle="1" w:styleId="87">
    <w:name w:val="Style43"/>
    <w:basedOn w:val="1"/>
    <w:qFormat/>
    <w:uiPriority w:val="99"/>
    <w:rPr>
      <w:rFonts w:ascii="Arial Unicode MS" w:hAnsi="Calibri" w:cs="Arial Unicode MS"/>
      <w:sz w:val="24"/>
      <w:szCs w:val="24"/>
    </w:rPr>
  </w:style>
  <w:style w:type="character" w:customStyle="1" w:styleId="88">
    <w:name w:val="Font Style72"/>
    <w:qFormat/>
    <w:uiPriority w:val="99"/>
    <w:rPr>
      <w:rFonts w:ascii="Arial Unicode MS" w:eastAsia="Times New Roman"/>
      <w:b/>
      <w:color w:val="000000"/>
      <w:sz w:val="16"/>
    </w:rPr>
  </w:style>
  <w:style w:type="paragraph" w:customStyle="1" w:styleId="89">
    <w:name w:val="Style40"/>
    <w:basedOn w:val="1"/>
    <w:qFormat/>
    <w:uiPriority w:val="99"/>
    <w:rPr>
      <w:rFonts w:ascii="Arial Unicode MS" w:hAnsi="Calibri" w:cs="Arial Unicode MS"/>
      <w:sz w:val="24"/>
      <w:szCs w:val="24"/>
    </w:rPr>
  </w:style>
  <w:style w:type="paragraph" w:customStyle="1" w:styleId="90">
    <w:name w:val="Style22"/>
    <w:basedOn w:val="1"/>
    <w:qFormat/>
    <w:uiPriority w:val="99"/>
    <w:rPr>
      <w:rFonts w:ascii="Arial Unicode MS" w:hAnsi="Calibri" w:cs="Arial Unicode MS"/>
      <w:sz w:val="24"/>
      <w:szCs w:val="24"/>
    </w:rPr>
  </w:style>
  <w:style w:type="paragraph" w:customStyle="1" w:styleId="91">
    <w:name w:val="Style42"/>
    <w:basedOn w:val="1"/>
    <w:qFormat/>
    <w:uiPriority w:val="99"/>
    <w:rPr>
      <w:rFonts w:ascii="Arial Unicode MS" w:hAnsi="Calibri" w:cs="Arial Unicode MS"/>
      <w:sz w:val="24"/>
      <w:szCs w:val="24"/>
    </w:rPr>
  </w:style>
  <w:style w:type="paragraph" w:customStyle="1" w:styleId="92">
    <w:name w:val="Style5"/>
    <w:basedOn w:val="1"/>
    <w:qFormat/>
    <w:uiPriority w:val="99"/>
    <w:rPr>
      <w:rFonts w:ascii="Arial Unicode MS" w:hAnsi="Calibri" w:cs="Arial Unicode MS"/>
      <w:sz w:val="24"/>
      <w:szCs w:val="24"/>
    </w:rPr>
  </w:style>
  <w:style w:type="paragraph" w:customStyle="1" w:styleId="93">
    <w:name w:val="1 Знак Знак Знак Знак Знак Знак Знак"/>
    <w:basedOn w:val="1"/>
    <w:qFormat/>
    <w:uiPriority w:val="99"/>
    <w:pPr>
      <w:widowControl/>
      <w:autoSpaceDE/>
      <w:autoSpaceDN/>
      <w:adjustRightInd/>
      <w:spacing w:after="160" w:line="240" w:lineRule="exact"/>
    </w:pPr>
    <w:rPr>
      <w:rFonts w:eastAsia="SimSun"/>
      <w:b/>
      <w:sz w:val="28"/>
      <w:szCs w:val="24"/>
      <w:lang w:val="en-US" w:eastAsia="en-US"/>
    </w:rPr>
  </w:style>
  <w:style w:type="character" w:customStyle="1" w:styleId="94">
    <w:name w:val="Font Style26"/>
    <w:qFormat/>
    <w:uiPriority w:val="99"/>
    <w:rPr>
      <w:rFonts w:ascii="Times New Roman" w:hAnsi="Times New Roman"/>
      <w:i/>
      <w:sz w:val="20"/>
    </w:rPr>
  </w:style>
  <w:style w:type="paragraph" w:customStyle="1" w:styleId="95">
    <w:name w:val="Style1"/>
    <w:basedOn w:val="1"/>
    <w:qFormat/>
    <w:uiPriority w:val="99"/>
    <w:rPr>
      <w:sz w:val="24"/>
      <w:szCs w:val="24"/>
    </w:rPr>
  </w:style>
  <w:style w:type="paragraph" w:customStyle="1" w:styleId="96">
    <w:name w:val="Style10"/>
    <w:basedOn w:val="1"/>
    <w:qFormat/>
    <w:uiPriority w:val="99"/>
    <w:rPr>
      <w:sz w:val="24"/>
      <w:szCs w:val="24"/>
    </w:rPr>
  </w:style>
  <w:style w:type="character" w:customStyle="1" w:styleId="97">
    <w:name w:val="Font Style18"/>
    <w:qFormat/>
    <w:uiPriority w:val="99"/>
    <w:rPr>
      <w:rFonts w:ascii="Times New Roman" w:hAnsi="Times New Roman" w:cs="Times New Roman"/>
      <w:sz w:val="26"/>
      <w:szCs w:val="26"/>
    </w:rPr>
  </w:style>
  <w:style w:type="character" w:customStyle="1" w:styleId="98">
    <w:name w:val="Font Style88"/>
    <w:qFormat/>
    <w:uiPriority w:val="0"/>
    <w:rPr>
      <w:rFonts w:ascii="Arial" w:hAnsi="Arial"/>
      <w:color w:val="000000"/>
      <w:sz w:val="26"/>
    </w:rPr>
  </w:style>
  <w:style w:type="character" w:customStyle="1" w:styleId="99">
    <w:name w:val="Font Style128"/>
    <w:qFormat/>
    <w:uiPriority w:val="0"/>
    <w:rPr>
      <w:rFonts w:ascii="Arial" w:hAnsi="Arial"/>
      <w:color w:val="000000"/>
      <w:sz w:val="18"/>
    </w:rPr>
  </w:style>
  <w:style w:type="character" w:customStyle="1" w:styleId="100">
    <w:name w:val="Font Style169"/>
    <w:qFormat/>
    <w:uiPriority w:val="0"/>
    <w:rPr>
      <w:rFonts w:ascii="Arial" w:hAnsi="Arial"/>
      <w:color w:val="000000"/>
      <w:sz w:val="18"/>
    </w:rPr>
  </w:style>
  <w:style w:type="character" w:customStyle="1" w:styleId="101">
    <w:name w:val="s1"/>
    <w:qFormat/>
    <w:uiPriority w:val="0"/>
    <w:rPr>
      <w:rFonts w:cs="Times New Roman"/>
    </w:rPr>
  </w:style>
  <w:style w:type="character" w:customStyle="1" w:styleId="102">
    <w:name w:val="apple-converted-space"/>
    <w:qFormat/>
    <w:uiPriority w:val="0"/>
    <w:rPr>
      <w:rFonts w:cs="Times New Roman"/>
    </w:rPr>
  </w:style>
  <w:style w:type="paragraph" w:customStyle="1" w:styleId="103">
    <w:name w:val="Style9"/>
    <w:basedOn w:val="1"/>
    <w:qFormat/>
    <w:uiPriority w:val="99"/>
    <w:rPr>
      <w:rFonts w:ascii="Arial" w:hAnsi="Arial" w:cs="Arial"/>
      <w:sz w:val="24"/>
      <w:szCs w:val="24"/>
    </w:rPr>
  </w:style>
  <w:style w:type="paragraph" w:customStyle="1" w:styleId="104">
    <w:name w:val="Style11"/>
    <w:basedOn w:val="1"/>
    <w:qFormat/>
    <w:uiPriority w:val="99"/>
    <w:rPr>
      <w:rFonts w:ascii="Arial" w:hAnsi="Arial" w:cs="Arial"/>
      <w:sz w:val="24"/>
      <w:szCs w:val="24"/>
    </w:rPr>
  </w:style>
  <w:style w:type="paragraph" w:customStyle="1" w:styleId="105">
    <w:name w:val="Style17"/>
    <w:basedOn w:val="1"/>
    <w:qFormat/>
    <w:uiPriority w:val="99"/>
    <w:rPr>
      <w:rFonts w:ascii="Arial" w:hAnsi="Arial" w:cs="Arial"/>
      <w:sz w:val="24"/>
      <w:szCs w:val="24"/>
    </w:rPr>
  </w:style>
  <w:style w:type="paragraph" w:customStyle="1" w:styleId="106">
    <w:name w:val="Style18"/>
    <w:basedOn w:val="1"/>
    <w:qFormat/>
    <w:uiPriority w:val="99"/>
    <w:rPr>
      <w:rFonts w:ascii="Arial" w:hAnsi="Arial" w:cs="Arial"/>
      <w:sz w:val="24"/>
      <w:szCs w:val="24"/>
    </w:rPr>
  </w:style>
  <w:style w:type="paragraph" w:customStyle="1" w:styleId="107">
    <w:name w:val="Style29"/>
    <w:basedOn w:val="1"/>
    <w:qFormat/>
    <w:uiPriority w:val="99"/>
    <w:rPr>
      <w:rFonts w:ascii="Arial" w:hAnsi="Arial" w:cs="Arial"/>
      <w:sz w:val="24"/>
      <w:szCs w:val="24"/>
    </w:rPr>
  </w:style>
  <w:style w:type="paragraph" w:customStyle="1" w:styleId="108">
    <w:name w:val="Style33"/>
    <w:basedOn w:val="1"/>
    <w:qFormat/>
    <w:uiPriority w:val="99"/>
    <w:rPr>
      <w:rFonts w:ascii="Arial" w:hAnsi="Arial" w:cs="Arial"/>
      <w:sz w:val="24"/>
      <w:szCs w:val="24"/>
    </w:rPr>
  </w:style>
  <w:style w:type="paragraph" w:customStyle="1" w:styleId="109">
    <w:name w:val="Style34"/>
    <w:basedOn w:val="1"/>
    <w:qFormat/>
    <w:uiPriority w:val="99"/>
    <w:rPr>
      <w:rFonts w:ascii="Arial" w:hAnsi="Arial" w:cs="Arial"/>
      <w:sz w:val="24"/>
      <w:szCs w:val="24"/>
    </w:rPr>
  </w:style>
  <w:style w:type="paragraph" w:customStyle="1" w:styleId="110">
    <w:name w:val="Style36"/>
    <w:basedOn w:val="1"/>
    <w:qFormat/>
    <w:uiPriority w:val="99"/>
    <w:rPr>
      <w:rFonts w:ascii="Arial" w:hAnsi="Arial" w:cs="Arial"/>
      <w:sz w:val="24"/>
      <w:szCs w:val="24"/>
    </w:rPr>
  </w:style>
  <w:style w:type="paragraph" w:customStyle="1" w:styleId="111">
    <w:name w:val="Style37"/>
    <w:basedOn w:val="1"/>
    <w:qFormat/>
    <w:uiPriority w:val="99"/>
    <w:rPr>
      <w:rFonts w:ascii="Arial" w:hAnsi="Arial" w:cs="Arial"/>
      <w:sz w:val="24"/>
      <w:szCs w:val="24"/>
    </w:rPr>
  </w:style>
  <w:style w:type="paragraph" w:customStyle="1" w:styleId="112">
    <w:name w:val="Style38"/>
    <w:basedOn w:val="1"/>
    <w:uiPriority w:val="99"/>
    <w:rPr>
      <w:rFonts w:ascii="Arial" w:hAnsi="Arial" w:cs="Arial"/>
      <w:sz w:val="24"/>
      <w:szCs w:val="24"/>
    </w:rPr>
  </w:style>
  <w:style w:type="paragraph" w:customStyle="1" w:styleId="113">
    <w:name w:val="Style41"/>
    <w:basedOn w:val="1"/>
    <w:qFormat/>
    <w:uiPriority w:val="99"/>
    <w:rPr>
      <w:rFonts w:ascii="Arial" w:hAnsi="Arial" w:cs="Arial"/>
      <w:sz w:val="24"/>
      <w:szCs w:val="24"/>
    </w:rPr>
  </w:style>
  <w:style w:type="paragraph" w:customStyle="1" w:styleId="114">
    <w:name w:val="Style44"/>
    <w:basedOn w:val="1"/>
    <w:qFormat/>
    <w:uiPriority w:val="99"/>
    <w:rPr>
      <w:rFonts w:ascii="Arial" w:hAnsi="Arial" w:cs="Arial"/>
      <w:sz w:val="24"/>
      <w:szCs w:val="24"/>
    </w:rPr>
  </w:style>
  <w:style w:type="paragraph" w:customStyle="1" w:styleId="115">
    <w:name w:val="Style46"/>
    <w:basedOn w:val="1"/>
    <w:qFormat/>
    <w:uiPriority w:val="99"/>
    <w:rPr>
      <w:rFonts w:ascii="Arial" w:hAnsi="Arial" w:cs="Arial"/>
      <w:sz w:val="24"/>
      <w:szCs w:val="24"/>
    </w:rPr>
  </w:style>
  <w:style w:type="paragraph" w:customStyle="1" w:styleId="116">
    <w:name w:val="Style47"/>
    <w:basedOn w:val="1"/>
    <w:qFormat/>
    <w:uiPriority w:val="99"/>
    <w:rPr>
      <w:rFonts w:ascii="Arial" w:hAnsi="Arial" w:cs="Arial"/>
      <w:sz w:val="24"/>
      <w:szCs w:val="24"/>
    </w:rPr>
  </w:style>
  <w:style w:type="paragraph" w:customStyle="1" w:styleId="117">
    <w:name w:val="Style48"/>
    <w:basedOn w:val="1"/>
    <w:qFormat/>
    <w:uiPriority w:val="99"/>
    <w:rPr>
      <w:rFonts w:ascii="Arial" w:hAnsi="Arial" w:cs="Arial"/>
      <w:sz w:val="24"/>
      <w:szCs w:val="24"/>
    </w:rPr>
  </w:style>
  <w:style w:type="paragraph" w:customStyle="1" w:styleId="118">
    <w:name w:val="Style49"/>
    <w:basedOn w:val="1"/>
    <w:qFormat/>
    <w:uiPriority w:val="99"/>
    <w:rPr>
      <w:rFonts w:ascii="Arial" w:hAnsi="Arial" w:cs="Arial"/>
      <w:sz w:val="24"/>
      <w:szCs w:val="24"/>
    </w:rPr>
  </w:style>
  <w:style w:type="paragraph" w:customStyle="1" w:styleId="119">
    <w:name w:val="Style50"/>
    <w:basedOn w:val="1"/>
    <w:qFormat/>
    <w:uiPriority w:val="0"/>
    <w:rPr>
      <w:rFonts w:ascii="Arial" w:hAnsi="Arial" w:cs="Arial"/>
      <w:sz w:val="24"/>
      <w:szCs w:val="24"/>
    </w:rPr>
  </w:style>
  <w:style w:type="paragraph" w:customStyle="1" w:styleId="120">
    <w:name w:val="Style51"/>
    <w:basedOn w:val="1"/>
    <w:qFormat/>
    <w:uiPriority w:val="0"/>
    <w:rPr>
      <w:rFonts w:ascii="Arial" w:hAnsi="Arial" w:cs="Arial"/>
      <w:sz w:val="24"/>
      <w:szCs w:val="24"/>
    </w:rPr>
  </w:style>
  <w:style w:type="paragraph" w:customStyle="1" w:styleId="121">
    <w:name w:val="Style52"/>
    <w:basedOn w:val="1"/>
    <w:qFormat/>
    <w:uiPriority w:val="0"/>
    <w:rPr>
      <w:rFonts w:ascii="Arial" w:hAnsi="Arial" w:cs="Arial"/>
      <w:sz w:val="24"/>
      <w:szCs w:val="24"/>
    </w:rPr>
  </w:style>
  <w:style w:type="paragraph" w:customStyle="1" w:styleId="122">
    <w:name w:val="Style53"/>
    <w:basedOn w:val="1"/>
    <w:qFormat/>
    <w:uiPriority w:val="0"/>
    <w:rPr>
      <w:rFonts w:ascii="Arial" w:hAnsi="Arial" w:cs="Arial"/>
      <w:sz w:val="24"/>
      <w:szCs w:val="24"/>
    </w:rPr>
  </w:style>
  <w:style w:type="paragraph" w:customStyle="1" w:styleId="123">
    <w:name w:val="Style54"/>
    <w:basedOn w:val="1"/>
    <w:qFormat/>
    <w:uiPriority w:val="0"/>
    <w:rPr>
      <w:rFonts w:ascii="Arial" w:hAnsi="Arial" w:cs="Arial"/>
      <w:sz w:val="24"/>
      <w:szCs w:val="24"/>
    </w:rPr>
  </w:style>
  <w:style w:type="paragraph" w:customStyle="1" w:styleId="124">
    <w:name w:val="Style55"/>
    <w:basedOn w:val="1"/>
    <w:qFormat/>
    <w:uiPriority w:val="0"/>
    <w:rPr>
      <w:rFonts w:ascii="Arial" w:hAnsi="Arial" w:cs="Arial"/>
      <w:sz w:val="24"/>
      <w:szCs w:val="24"/>
    </w:rPr>
  </w:style>
  <w:style w:type="paragraph" w:customStyle="1" w:styleId="125">
    <w:name w:val="Style56"/>
    <w:basedOn w:val="1"/>
    <w:qFormat/>
    <w:uiPriority w:val="0"/>
    <w:rPr>
      <w:rFonts w:ascii="Arial" w:hAnsi="Arial" w:cs="Arial"/>
      <w:sz w:val="24"/>
      <w:szCs w:val="24"/>
    </w:rPr>
  </w:style>
  <w:style w:type="paragraph" w:customStyle="1" w:styleId="126">
    <w:name w:val="Style57"/>
    <w:basedOn w:val="1"/>
    <w:qFormat/>
    <w:uiPriority w:val="0"/>
    <w:rPr>
      <w:rFonts w:ascii="Arial" w:hAnsi="Arial" w:cs="Arial"/>
      <w:sz w:val="24"/>
      <w:szCs w:val="24"/>
    </w:rPr>
  </w:style>
  <w:style w:type="paragraph" w:customStyle="1" w:styleId="127">
    <w:name w:val="Style58"/>
    <w:basedOn w:val="1"/>
    <w:qFormat/>
    <w:uiPriority w:val="0"/>
    <w:rPr>
      <w:rFonts w:ascii="Arial" w:hAnsi="Arial" w:cs="Arial"/>
      <w:sz w:val="24"/>
      <w:szCs w:val="24"/>
    </w:rPr>
  </w:style>
  <w:style w:type="paragraph" w:customStyle="1" w:styleId="128">
    <w:name w:val="Style59"/>
    <w:basedOn w:val="1"/>
    <w:qFormat/>
    <w:uiPriority w:val="0"/>
    <w:rPr>
      <w:rFonts w:ascii="Arial" w:hAnsi="Arial" w:cs="Arial"/>
      <w:sz w:val="24"/>
      <w:szCs w:val="24"/>
    </w:rPr>
  </w:style>
  <w:style w:type="paragraph" w:customStyle="1" w:styleId="129">
    <w:name w:val="Style60"/>
    <w:basedOn w:val="1"/>
    <w:qFormat/>
    <w:uiPriority w:val="0"/>
    <w:rPr>
      <w:rFonts w:ascii="Arial" w:hAnsi="Arial" w:cs="Arial"/>
      <w:sz w:val="24"/>
      <w:szCs w:val="24"/>
    </w:rPr>
  </w:style>
  <w:style w:type="paragraph" w:customStyle="1" w:styleId="130">
    <w:name w:val="Style62"/>
    <w:basedOn w:val="1"/>
    <w:qFormat/>
    <w:uiPriority w:val="0"/>
    <w:rPr>
      <w:rFonts w:ascii="Arial" w:hAnsi="Arial" w:cs="Arial"/>
      <w:sz w:val="24"/>
      <w:szCs w:val="24"/>
    </w:rPr>
  </w:style>
  <w:style w:type="paragraph" w:customStyle="1" w:styleId="131">
    <w:name w:val="Style63"/>
    <w:basedOn w:val="1"/>
    <w:qFormat/>
    <w:uiPriority w:val="0"/>
    <w:rPr>
      <w:rFonts w:ascii="Arial" w:hAnsi="Arial" w:cs="Arial"/>
      <w:sz w:val="24"/>
      <w:szCs w:val="24"/>
    </w:rPr>
  </w:style>
  <w:style w:type="paragraph" w:customStyle="1" w:styleId="132">
    <w:name w:val="Style64"/>
    <w:basedOn w:val="1"/>
    <w:qFormat/>
    <w:uiPriority w:val="0"/>
    <w:rPr>
      <w:rFonts w:ascii="Arial" w:hAnsi="Arial" w:cs="Arial"/>
      <w:sz w:val="24"/>
      <w:szCs w:val="24"/>
    </w:rPr>
  </w:style>
  <w:style w:type="paragraph" w:customStyle="1" w:styleId="133">
    <w:name w:val="Style65"/>
    <w:basedOn w:val="1"/>
    <w:qFormat/>
    <w:uiPriority w:val="0"/>
    <w:rPr>
      <w:rFonts w:ascii="Arial" w:hAnsi="Arial" w:cs="Arial"/>
      <w:sz w:val="24"/>
      <w:szCs w:val="24"/>
    </w:rPr>
  </w:style>
  <w:style w:type="paragraph" w:customStyle="1" w:styleId="134">
    <w:name w:val="Style66"/>
    <w:basedOn w:val="1"/>
    <w:qFormat/>
    <w:uiPriority w:val="0"/>
    <w:rPr>
      <w:rFonts w:ascii="Arial" w:hAnsi="Arial" w:cs="Arial"/>
      <w:sz w:val="24"/>
      <w:szCs w:val="24"/>
    </w:rPr>
  </w:style>
  <w:style w:type="paragraph" w:customStyle="1" w:styleId="135">
    <w:name w:val="Style68"/>
    <w:basedOn w:val="1"/>
    <w:qFormat/>
    <w:uiPriority w:val="0"/>
    <w:rPr>
      <w:rFonts w:ascii="Arial" w:hAnsi="Arial" w:cs="Arial"/>
      <w:sz w:val="24"/>
      <w:szCs w:val="24"/>
    </w:rPr>
  </w:style>
  <w:style w:type="paragraph" w:customStyle="1" w:styleId="136">
    <w:name w:val="Style69"/>
    <w:basedOn w:val="1"/>
    <w:qFormat/>
    <w:uiPriority w:val="0"/>
    <w:rPr>
      <w:rFonts w:ascii="Arial" w:hAnsi="Arial" w:cs="Arial"/>
      <w:sz w:val="24"/>
      <w:szCs w:val="24"/>
    </w:rPr>
  </w:style>
  <w:style w:type="paragraph" w:customStyle="1" w:styleId="137">
    <w:name w:val="Style70"/>
    <w:basedOn w:val="1"/>
    <w:qFormat/>
    <w:uiPriority w:val="0"/>
    <w:rPr>
      <w:rFonts w:ascii="Arial" w:hAnsi="Arial" w:cs="Arial"/>
      <w:sz w:val="24"/>
      <w:szCs w:val="24"/>
    </w:rPr>
  </w:style>
  <w:style w:type="paragraph" w:customStyle="1" w:styleId="138">
    <w:name w:val="Style71"/>
    <w:basedOn w:val="1"/>
    <w:qFormat/>
    <w:uiPriority w:val="0"/>
    <w:rPr>
      <w:rFonts w:ascii="Arial" w:hAnsi="Arial" w:cs="Arial"/>
      <w:sz w:val="24"/>
      <w:szCs w:val="24"/>
    </w:rPr>
  </w:style>
  <w:style w:type="paragraph" w:customStyle="1" w:styleId="139">
    <w:name w:val="Style72"/>
    <w:basedOn w:val="1"/>
    <w:qFormat/>
    <w:uiPriority w:val="0"/>
    <w:rPr>
      <w:rFonts w:ascii="Arial" w:hAnsi="Arial" w:cs="Arial"/>
      <w:sz w:val="24"/>
      <w:szCs w:val="24"/>
    </w:rPr>
  </w:style>
  <w:style w:type="paragraph" w:customStyle="1" w:styleId="140">
    <w:name w:val="Style73"/>
    <w:basedOn w:val="1"/>
    <w:qFormat/>
    <w:uiPriority w:val="0"/>
    <w:rPr>
      <w:rFonts w:ascii="Arial" w:hAnsi="Arial" w:cs="Arial"/>
      <w:sz w:val="24"/>
      <w:szCs w:val="24"/>
    </w:rPr>
  </w:style>
  <w:style w:type="paragraph" w:customStyle="1" w:styleId="141">
    <w:name w:val="Style74"/>
    <w:basedOn w:val="1"/>
    <w:qFormat/>
    <w:uiPriority w:val="0"/>
    <w:rPr>
      <w:rFonts w:ascii="Arial" w:hAnsi="Arial" w:cs="Arial"/>
      <w:sz w:val="24"/>
      <w:szCs w:val="24"/>
    </w:rPr>
  </w:style>
  <w:style w:type="paragraph" w:customStyle="1" w:styleId="142">
    <w:name w:val="Style75"/>
    <w:basedOn w:val="1"/>
    <w:qFormat/>
    <w:uiPriority w:val="0"/>
    <w:rPr>
      <w:rFonts w:ascii="Arial" w:hAnsi="Arial" w:cs="Arial"/>
      <w:sz w:val="24"/>
      <w:szCs w:val="24"/>
    </w:rPr>
  </w:style>
  <w:style w:type="paragraph" w:customStyle="1" w:styleId="143">
    <w:name w:val="Style76"/>
    <w:basedOn w:val="1"/>
    <w:qFormat/>
    <w:uiPriority w:val="0"/>
    <w:rPr>
      <w:rFonts w:ascii="Arial" w:hAnsi="Arial" w:cs="Arial"/>
      <w:sz w:val="24"/>
      <w:szCs w:val="24"/>
    </w:rPr>
  </w:style>
  <w:style w:type="paragraph" w:customStyle="1" w:styleId="144">
    <w:name w:val="Style77"/>
    <w:basedOn w:val="1"/>
    <w:qFormat/>
    <w:uiPriority w:val="0"/>
    <w:rPr>
      <w:rFonts w:ascii="Arial" w:hAnsi="Arial" w:cs="Arial"/>
      <w:sz w:val="24"/>
      <w:szCs w:val="24"/>
    </w:rPr>
  </w:style>
  <w:style w:type="paragraph" w:customStyle="1" w:styleId="145">
    <w:name w:val="Style78"/>
    <w:basedOn w:val="1"/>
    <w:qFormat/>
    <w:uiPriority w:val="0"/>
    <w:rPr>
      <w:rFonts w:ascii="Arial" w:hAnsi="Arial" w:cs="Arial"/>
      <w:sz w:val="24"/>
      <w:szCs w:val="24"/>
    </w:rPr>
  </w:style>
  <w:style w:type="paragraph" w:customStyle="1" w:styleId="146">
    <w:name w:val="Style79"/>
    <w:basedOn w:val="1"/>
    <w:qFormat/>
    <w:uiPriority w:val="0"/>
    <w:rPr>
      <w:rFonts w:ascii="Arial" w:hAnsi="Arial" w:cs="Arial"/>
      <w:sz w:val="24"/>
      <w:szCs w:val="24"/>
    </w:rPr>
  </w:style>
  <w:style w:type="paragraph" w:customStyle="1" w:styleId="147">
    <w:name w:val="Style80"/>
    <w:basedOn w:val="1"/>
    <w:qFormat/>
    <w:uiPriority w:val="0"/>
    <w:rPr>
      <w:rFonts w:ascii="Arial" w:hAnsi="Arial" w:cs="Arial"/>
      <w:sz w:val="24"/>
      <w:szCs w:val="24"/>
    </w:rPr>
  </w:style>
  <w:style w:type="paragraph" w:customStyle="1" w:styleId="148">
    <w:name w:val="Style81"/>
    <w:basedOn w:val="1"/>
    <w:qFormat/>
    <w:uiPriority w:val="0"/>
    <w:rPr>
      <w:rFonts w:ascii="Arial" w:hAnsi="Arial" w:cs="Arial"/>
      <w:sz w:val="24"/>
      <w:szCs w:val="24"/>
    </w:rPr>
  </w:style>
  <w:style w:type="paragraph" w:customStyle="1" w:styleId="149">
    <w:name w:val="Style82"/>
    <w:basedOn w:val="1"/>
    <w:qFormat/>
    <w:uiPriority w:val="0"/>
    <w:rPr>
      <w:rFonts w:ascii="Arial" w:hAnsi="Arial" w:cs="Arial"/>
      <w:sz w:val="24"/>
      <w:szCs w:val="24"/>
    </w:rPr>
  </w:style>
  <w:style w:type="paragraph" w:customStyle="1" w:styleId="150">
    <w:name w:val="Style83"/>
    <w:basedOn w:val="1"/>
    <w:qFormat/>
    <w:uiPriority w:val="0"/>
    <w:rPr>
      <w:rFonts w:ascii="Arial" w:hAnsi="Arial" w:cs="Arial"/>
      <w:sz w:val="24"/>
      <w:szCs w:val="24"/>
    </w:rPr>
  </w:style>
  <w:style w:type="paragraph" w:customStyle="1" w:styleId="151">
    <w:name w:val="Style84"/>
    <w:basedOn w:val="1"/>
    <w:qFormat/>
    <w:uiPriority w:val="0"/>
    <w:rPr>
      <w:rFonts w:ascii="Arial" w:hAnsi="Arial" w:cs="Arial"/>
      <w:sz w:val="24"/>
      <w:szCs w:val="24"/>
    </w:rPr>
  </w:style>
  <w:style w:type="paragraph" w:customStyle="1" w:styleId="152">
    <w:name w:val="Style85"/>
    <w:basedOn w:val="1"/>
    <w:qFormat/>
    <w:uiPriority w:val="0"/>
    <w:rPr>
      <w:rFonts w:ascii="Arial" w:hAnsi="Arial" w:cs="Arial"/>
      <w:sz w:val="24"/>
      <w:szCs w:val="24"/>
    </w:rPr>
  </w:style>
  <w:style w:type="character" w:customStyle="1" w:styleId="153">
    <w:name w:val="Font Style87"/>
    <w:qFormat/>
    <w:uiPriority w:val="99"/>
    <w:rPr>
      <w:rFonts w:ascii="Arial" w:hAnsi="Arial"/>
      <w:color w:val="000000"/>
      <w:spacing w:val="-20"/>
      <w:sz w:val="30"/>
    </w:rPr>
  </w:style>
  <w:style w:type="character" w:customStyle="1" w:styleId="154">
    <w:name w:val="Font Style90"/>
    <w:qFormat/>
    <w:uiPriority w:val="0"/>
    <w:rPr>
      <w:rFonts w:ascii="Times New Roman" w:hAnsi="Times New Roman"/>
      <w:color w:val="000000"/>
      <w:sz w:val="14"/>
    </w:rPr>
  </w:style>
  <w:style w:type="character" w:customStyle="1" w:styleId="155">
    <w:name w:val="Font Style91"/>
    <w:qFormat/>
    <w:uiPriority w:val="0"/>
    <w:rPr>
      <w:rFonts w:ascii="Arial" w:hAnsi="Arial"/>
      <w:color w:val="000000"/>
      <w:sz w:val="16"/>
    </w:rPr>
  </w:style>
  <w:style w:type="character" w:customStyle="1" w:styleId="156">
    <w:name w:val="Font Style94"/>
    <w:uiPriority w:val="0"/>
    <w:rPr>
      <w:rFonts w:ascii="Arial" w:hAnsi="Arial"/>
      <w:i/>
      <w:color w:val="000000"/>
      <w:spacing w:val="10"/>
      <w:sz w:val="8"/>
    </w:rPr>
  </w:style>
  <w:style w:type="character" w:customStyle="1" w:styleId="157">
    <w:name w:val="Font Style96"/>
    <w:qFormat/>
    <w:uiPriority w:val="0"/>
    <w:rPr>
      <w:rFonts w:ascii="Times New Roman" w:hAnsi="Times New Roman"/>
      <w:color w:val="000000"/>
      <w:sz w:val="12"/>
    </w:rPr>
  </w:style>
  <w:style w:type="character" w:customStyle="1" w:styleId="158">
    <w:name w:val="Font Style99"/>
    <w:qFormat/>
    <w:uiPriority w:val="0"/>
    <w:rPr>
      <w:rFonts w:ascii="Times New Roman" w:hAnsi="Times New Roman"/>
      <w:b/>
      <w:smallCaps/>
      <w:color w:val="000000"/>
      <w:sz w:val="10"/>
    </w:rPr>
  </w:style>
  <w:style w:type="character" w:customStyle="1" w:styleId="159">
    <w:name w:val="Font Style100"/>
    <w:qFormat/>
    <w:uiPriority w:val="0"/>
    <w:rPr>
      <w:rFonts w:ascii="Arial" w:hAnsi="Arial"/>
      <w:i/>
      <w:color w:val="000000"/>
      <w:sz w:val="24"/>
    </w:rPr>
  </w:style>
  <w:style w:type="character" w:customStyle="1" w:styleId="160">
    <w:name w:val="Font Style101"/>
    <w:qFormat/>
    <w:uiPriority w:val="0"/>
    <w:rPr>
      <w:rFonts w:ascii="Times New Roman" w:hAnsi="Times New Roman"/>
      <w:i/>
      <w:color w:val="000000"/>
      <w:sz w:val="18"/>
    </w:rPr>
  </w:style>
  <w:style w:type="character" w:customStyle="1" w:styleId="161">
    <w:name w:val="Font Style102"/>
    <w:qFormat/>
    <w:uiPriority w:val="0"/>
    <w:rPr>
      <w:rFonts w:ascii="Times New Roman" w:hAnsi="Times New Roman"/>
      <w:i/>
      <w:color w:val="000000"/>
      <w:sz w:val="22"/>
    </w:rPr>
  </w:style>
  <w:style w:type="character" w:customStyle="1" w:styleId="162">
    <w:name w:val="Font Style104"/>
    <w:qFormat/>
    <w:uiPriority w:val="0"/>
    <w:rPr>
      <w:rFonts w:ascii="Arial" w:hAnsi="Arial"/>
      <w:i/>
      <w:color w:val="000000"/>
      <w:sz w:val="28"/>
    </w:rPr>
  </w:style>
  <w:style w:type="character" w:customStyle="1" w:styleId="163">
    <w:name w:val="Font Style109"/>
    <w:qFormat/>
    <w:uiPriority w:val="0"/>
    <w:rPr>
      <w:rFonts w:ascii="Arial" w:hAnsi="Arial"/>
      <w:i/>
      <w:color w:val="000000"/>
      <w:sz w:val="10"/>
    </w:rPr>
  </w:style>
  <w:style w:type="character" w:customStyle="1" w:styleId="164">
    <w:name w:val="Font Style110"/>
    <w:qFormat/>
    <w:uiPriority w:val="0"/>
    <w:rPr>
      <w:rFonts w:ascii="Arial" w:hAnsi="Arial"/>
      <w:i/>
      <w:color w:val="000000"/>
      <w:sz w:val="14"/>
    </w:rPr>
  </w:style>
  <w:style w:type="character" w:customStyle="1" w:styleId="165">
    <w:name w:val="Font Style112"/>
    <w:qFormat/>
    <w:uiPriority w:val="0"/>
    <w:rPr>
      <w:rFonts w:ascii="Arial" w:hAnsi="Arial"/>
      <w:color w:val="000000"/>
      <w:sz w:val="18"/>
    </w:rPr>
  </w:style>
  <w:style w:type="character" w:customStyle="1" w:styleId="166">
    <w:name w:val="Font Style113"/>
    <w:qFormat/>
    <w:uiPriority w:val="0"/>
    <w:rPr>
      <w:rFonts w:ascii="Franklin Gothic Demi Cond" w:hAnsi="Franklin Gothic Demi Cond"/>
      <w:color w:val="000000"/>
      <w:sz w:val="30"/>
    </w:rPr>
  </w:style>
  <w:style w:type="character" w:customStyle="1" w:styleId="167">
    <w:name w:val="Font Style114"/>
    <w:qFormat/>
    <w:uiPriority w:val="0"/>
    <w:rPr>
      <w:rFonts w:ascii="Times New Roman" w:hAnsi="Times New Roman"/>
      <w:color w:val="000000"/>
      <w:sz w:val="12"/>
    </w:rPr>
  </w:style>
  <w:style w:type="character" w:customStyle="1" w:styleId="168">
    <w:name w:val="Font Style115"/>
    <w:qFormat/>
    <w:uiPriority w:val="0"/>
    <w:rPr>
      <w:rFonts w:ascii="Arial" w:hAnsi="Arial"/>
      <w:color w:val="000000"/>
      <w:spacing w:val="-10"/>
      <w:sz w:val="20"/>
    </w:rPr>
  </w:style>
  <w:style w:type="character" w:customStyle="1" w:styleId="169">
    <w:name w:val="Font Style116"/>
    <w:qFormat/>
    <w:uiPriority w:val="0"/>
    <w:rPr>
      <w:rFonts w:ascii="Arial" w:hAnsi="Arial"/>
      <w:color w:val="000000"/>
      <w:sz w:val="16"/>
    </w:rPr>
  </w:style>
  <w:style w:type="character" w:customStyle="1" w:styleId="170">
    <w:name w:val="Font Style117"/>
    <w:qFormat/>
    <w:uiPriority w:val="0"/>
    <w:rPr>
      <w:rFonts w:ascii="Arial" w:hAnsi="Arial"/>
      <w:color w:val="000000"/>
      <w:sz w:val="14"/>
    </w:rPr>
  </w:style>
  <w:style w:type="character" w:customStyle="1" w:styleId="171">
    <w:name w:val="Font Style120"/>
    <w:qFormat/>
    <w:uiPriority w:val="0"/>
    <w:rPr>
      <w:rFonts w:ascii="Arial" w:hAnsi="Arial"/>
      <w:b/>
      <w:color w:val="000000"/>
      <w:sz w:val="16"/>
    </w:rPr>
  </w:style>
  <w:style w:type="character" w:customStyle="1" w:styleId="172">
    <w:name w:val="Font Style121"/>
    <w:qFormat/>
    <w:uiPriority w:val="0"/>
    <w:rPr>
      <w:rFonts w:ascii="Times New Roman" w:hAnsi="Times New Roman"/>
      <w:i/>
      <w:color w:val="000000"/>
      <w:sz w:val="22"/>
    </w:rPr>
  </w:style>
  <w:style w:type="character" w:customStyle="1" w:styleId="173">
    <w:name w:val="Font Style122"/>
    <w:qFormat/>
    <w:uiPriority w:val="0"/>
    <w:rPr>
      <w:rFonts w:ascii="Times New Roman" w:hAnsi="Times New Roman"/>
      <w:color w:val="000000"/>
      <w:sz w:val="22"/>
    </w:rPr>
  </w:style>
  <w:style w:type="character" w:customStyle="1" w:styleId="174">
    <w:name w:val="Font Style123"/>
    <w:qFormat/>
    <w:uiPriority w:val="0"/>
    <w:rPr>
      <w:rFonts w:ascii="Arial" w:hAnsi="Arial"/>
      <w:b/>
      <w:color w:val="000000"/>
      <w:sz w:val="18"/>
    </w:rPr>
  </w:style>
  <w:style w:type="character" w:customStyle="1" w:styleId="175">
    <w:name w:val="Font Style124"/>
    <w:qFormat/>
    <w:uiPriority w:val="0"/>
    <w:rPr>
      <w:rFonts w:ascii="Arial" w:hAnsi="Arial"/>
      <w:b/>
      <w:color w:val="000000"/>
      <w:sz w:val="22"/>
    </w:rPr>
  </w:style>
  <w:style w:type="character" w:customStyle="1" w:styleId="176">
    <w:name w:val="Font Style125"/>
    <w:uiPriority w:val="0"/>
    <w:rPr>
      <w:rFonts w:ascii="Arial" w:hAnsi="Arial"/>
      <w:color w:val="000000"/>
      <w:sz w:val="16"/>
    </w:rPr>
  </w:style>
  <w:style w:type="character" w:customStyle="1" w:styleId="177">
    <w:name w:val="Font Style126"/>
    <w:uiPriority w:val="0"/>
    <w:rPr>
      <w:rFonts w:ascii="Arial" w:hAnsi="Arial"/>
      <w:b/>
      <w:color w:val="000000"/>
      <w:sz w:val="26"/>
    </w:rPr>
  </w:style>
  <w:style w:type="character" w:customStyle="1" w:styleId="178">
    <w:name w:val="Font Style127"/>
    <w:qFormat/>
    <w:uiPriority w:val="0"/>
    <w:rPr>
      <w:rFonts w:ascii="Arial" w:hAnsi="Arial"/>
      <w:i/>
      <w:color w:val="000000"/>
      <w:sz w:val="18"/>
    </w:rPr>
  </w:style>
  <w:style w:type="character" w:customStyle="1" w:styleId="179">
    <w:name w:val="Font Style129"/>
    <w:qFormat/>
    <w:uiPriority w:val="0"/>
    <w:rPr>
      <w:rFonts w:ascii="Arial" w:hAnsi="Arial"/>
      <w:b/>
      <w:color w:val="000000"/>
      <w:sz w:val="18"/>
    </w:rPr>
  </w:style>
  <w:style w:type="paragraph" w:customStyle="1" w:styleId="180">
    <w:name w:val="Iau?iue"/>
    <w:qFormat/>
    <w:uiPriority w:val="0"/>
    <w:rPr>
      <w:rFonts w:ascii="Times New Roman" w:hAnsi="Times New Roman" w:eastAsia="SimSun" w:cs="Times New Roman"/>
      <w:lang w:val="en-US" w:eastAsia="ru-RU" w:bidi="ar-SA"/>
    </w:rPr>
  </w:style>
  <w:style w:type="paragraph" w:customStyle="1" w:styleId="181">
    <w:name w:val="caaieiaie 3"/>
    <w:basedOn w:val="180"/>
    <w:next w:val="180"/>
    <w:qFormat/>
    <w:uiPriority w:val="0"/>
    <w:pPr>
      <w:keepNext/>
      <w:spacing w:line="360" w:lineRule="auto"/>
    </w:pPr>
    <w:rPr>
      <w:b/>
      <w:sz w:val="32"/>
      <w:lang w:val="ru-RU"/>
    </w:rPr>
  </w:style>
  <w:style w:type="paragraph" w:customStyle="1" w:styleId="182">
    <w:name w:val="caaieiaie 5"/>
    <w:basedOn w:val="180"/>
    <w:next w:val="180"/>
    <w:qFormat/>
    <w:uiPriority w:val="0"/>
    <w:pPr>
      <w:keepNext/>
      <w:spacing w:line="360" w:lineRule="auto"/>
    </w:pPr>
    <w:rPr>
      <w:b/>
      <w:sz w:val="28"/>
      <w:lang w:val="ru-RU"/>
    </w:rPr>
  </w:style>
  <w:style w:type="paragraph" w:customStyle="1" w:styleId="183">
    <w:name w:val="Iniiaiie oaeno"/>
    <w:basedOn w:val="180"/>
    <w:qFormat/>
    <w:uiPriority w:val="0"/>
    <w:pPr>
      <w:tabs>
        <w:tab w:val="left" w:pos="720"/>
        <w:tab w:val="left" w:pos="3969"/>
      </w:tabs>
      <w:spacing w:line="360" w:lineRule="auto"/>
    </w:pPr>
    <w:rPr>
      <w:b/>
      <w:color w:val="000000"/>
      <w:sz w:val="40"/>
      <w:lang w:val="ru-RU"/>
    </w:rPr>
  </w:style>
  <w:style w:type="paragraph" w:styleId="184">
    <w:name w:val="Medium Grid 2"/>
    <w:qFormat/>
    <w:uiPriority w:val="1"/>
    <w:rPr>
      <w:rFonts w:ascii="Calibri" w:hAnsi="Calibri" w:eastAsia="SimSun" w:cs="Times New Roman"/>
      <w:sz w:val="22"/>
      <w:szCs w:val="22"/>
      <w:lang w:val="ru-RU" w:eastAsia="en-US" w:bidi="ar-SA"/>
    </w:rPr>
  </w:style>
  <w:style w:type="character" w:customStyle="1" w:styleId="185">
    <w:name w:val="apple-style-span"/>
    <w:qFormat/>
    <w:uiPriority w:val="0"/>
    <w:rPr>
      <w:rFonts w:cs="Times New Roman"/>
    </w:rPr>
  </w:style>
  <w:style w:type="paragraph" w:customStyle="1" w:styleId="186">
    <w:name w:val="formattext"/>
    <w:basedOn w:val="1"/>
    <w:qFormat/>
    <w:uiPriority w:val="0"/>
    <w:pPr>
      <w:widowControl/>
      <w:autoSpaceDE/>
      <w:autoSpaceDN/>
      <w:adjustRightInd/>
      <w:spacing w:before="100" w:beforeAutospacing="1" w:after="100" w:afterAutospacing="1"/>
    </w:pPr>
    <w:rPr>
      <w:sz w:val="24"/>
      <w:szCs w:val="24"/>
    </w:rPr>
  </w:style>
  <w:style w:type="paragraph" w:customStyle="1" w:styleId="187">
    <w:name w:val="topleveltext"/>
    <w:basedOn w:val="1"/>
    <w:qFormat/>
    <w:uiPriority w:val="0"/>
    <w:pPr>
      <w:widowControl/>
      <w:autoSpaceDE/>
      <w:autoSpaceDN/>
      <w:adjustRightInd/>
      <w:spacing w:before="100" w:beforeAutospacing="1" w:after="100" w:afterAutospacing="1"/>
    </w:pPr>
    <w:rPr>
      <w:sz w:val="24"/>
      <w:szCs w:val="24"/>
    </w:rPr>
  </w:style>
  <w:style w:type="paragraph" w:customStyle="1" w:styleId="188">
    <w:name w:val="Heading"/>
    <w:qFormat/>
    <w:uiPriority w:val="0"/>
    <w:pPr>
      <w:widowControl w:val="0"/>
      <w:autoSpaceDE w:val="0"/>
      <w:autoSpaceDN w:val="0"/>
      <w:adjustRightInd w:val="0"/>
    </w:pPr>
    <w:rPr>
      <w:rFonts w:ascii="Arial" w:hAnsi="Arial" w:eastAsia="SimSun" w:cs="Arial"/>
      <w:b/>
      <w:bCs/>
      <w:sz w:val="22"/>
      <w:szCs w:val="22"/>
      <w:lang w:val="ru-RU" w:eastAsia="ru-RU" w:bidi="ar-SA"/>
    </w:rPr>
  </w:style>
  <w:style w:type="table" w:customStyle="1" w:styleId="189">
    <w:name w:val="Table Normal"/>
    <w:unhideWhenUsed/>
    <w:qFormat/>
    <w:uiPriority w:val="2"/>
    <w:pPr>
      <w:widowControl w:val="0"/>
      <w:autoSpaceDE w:val="0"/>
      <w:autoSpaceDN w:val="0"/>
    </w:pPr>
    <w:rPr>
      <w:rFonts w:ascii="Calibri" w:hAnsi="Calibri" w:eastAsia="Calibri"/>
      <w:sz w:val="22"/>
      <w:szCs w:val="22"/>
      <w:lang w:val="en-US" w:eastAsia="en-US" w:bidi="ar-SA"/>
    </w:rPr>
    <w:tblPr>
      <w:tblCellMar>
        <w:top w:w="0" w:type="dxa"/>
        <w:left w:w="0" w:type="dxa"/>
        <w:bottom w:w="0" w:type="dxa"/>
        <w:right w:w="0" w:type="dxa"/>
      </w:tblCellMar>
    </w:tblPr>
  </w:style>
  <w:style w:type="paragraph" w:customStyle="1" w:styleId="190">
    <w:name w:val="Table Paragraph"/>
    <w:basedOn w:val="1"/>
    <w:qFormat/>
    <w:uiPriority w:val="1"/>
    <w:pPr>
      <w:adjustRightInd/>
      <w:spacing w:before="113"/>
      <w:ind w:left="50"/>
    </w:pPr>
    <w:rPr>
      <w:rFonts w:ascii="Cambria" w:hAnsi="Cambria" w:eastAsia="Cambria" w:cs="Cambria"/>
      <w:sz w:val="22"/>
      <w:szCs w:val="22"/>
      <w:lang w:val="en-US" w:eastAsia="en-US"/>
    </w:rPr>
  </w:style>
  <w:style w:type="paragraph" w:customStyle="1" w:styleId="191">
    <w:name w:val="Нормальный (таблица)"/>
    <w:basedOn w:val="1"/>
    <w:next w:val="1"/>
    <w:qFormat/>
    <w:uiPriority w:val="99"/>
    <w:pPr>
      <w:jc w:val="both"/>
    </w:pPr>
    <w:rPr>
      <w:rFonts w:ascii="Times New Roman CYR" w:hAnsi="Times New Roman CYR" w:cs="Times New Roman CYR"/>
      <w:sz w:val="24"/>
      <w:szCs w:val="24"/>
    </w:rPr>
  </w:style>
  <w:style w:type="paragraph" w:customStyle="1" w:styleId="192">
    <w:name w:val="Style8"/>
    <w:basedOn w:val="1"/>
    <w:qFormat/>
    <w:uiPriority w:val="99"/>
    <w:rPr>
      <w:rFonts w:ascii="Book Antiqua" w:hAnsi="Book Antiqua"/>
      <w:sz w:val="24"/>
      <w:szCs w:val="24"/>
    </w:rPr>
  </w:style>
  <w:style w:type="paragraph" w:customStyle="1" w:styleId="193">
    <w:name w:val="Style31"/>
    <w:basedOn w:val="1"/>
    <w:qFormat/>
    <w:uiPriority w:val="99"/>
    <w:rPr>
      <w:rFonts w:ascii="Book Antiqua" w:hAnsi="Book Antiqua"/>
      <w:sz w:val="24"/>
      <w:szCs w:val="24"/>
    </w:rPr>
  </w:style>
  <w:style w:type="paragraph" w:customStyle="1" w:styleId="194">
    <w:name w:val="Style39"/>
    <w:basedOn w:val="1"/>
    <w:qFormat/>
    <w:uiPriority w:val="99"/>
    <w:rPr>
      <w:rFonts w:ascii="Book Antiqua" w:hAnsi="Book Antiqua"/>
      <w:sz w:val="24"/>
      <w:szCs w:val="24"/>
    </w:rPr>
  </w:style>
  <w:style w:type="paragraph" w:customStyle="1" w:styleId="195">
    <w:name w:val="Style45"/>
    <w:basedOn w:val="1"/>
    <w:qFormat/>
    <w:uiPriority w:val="99"/>
    <w:rPr>
      <w:rFonts w:ascii="Book Antiqua" w:hAnsi="Book Antiqua"/>
      <w:sz w:val="24"/>
      <w:szCs w:val="24"/>
    </w:rPr>
  </w:style>
  <w:style w:type="character" w:customStyle="1" w:styleId="196">
    <w:name w:val="Font Style52"/>
    <w:qFormat/>
    <w:uiPriority w:val="99"/>
    <w:rPr>
      <w:rFonts w:ascii="Book Antiqua" w:hAnsi="Book Antiqua" w:cs="Book Antiqua"/>
      <w:color w:val="000000"/>
      <w:spacing w:val="10"/>
      <w:sz w:val="38"/>
      <w:szCs w:val="38"/>
      <w:rtl/>
      <w:cs/>
    </w:rPr>
  </w:style>
  <w:style w:type="character" w:customStyle="1" w:styleId="197">
    <w:name w:val="Font Style53"/>
    <w:qFormat/>
    <w:uiPriority w:val="99"/>
    <w:rPr>
      <w:rFonts w:ascii="Georgia" w:hAnsi="Georgia" w:cs="Georgia"/>
      <w:b/>
      <w:bCs/>
      <w:color w:val="000000"/>
      <w:spacing w:val="-10"/>
      <w:sz w:val="50"/>
      <w:szCs w:val="50"/>
      <w:rtl/>
      <w:cs/>
    </w:rPr>
  </w:style>
  <w:style w:type="character" w:customStyle="1" w:styleId="198">
    <w:name w:val="Font Style56"/>
    <w:qFormat/>
    <w:uiPriority w:val="99"/>
    <w:rPr>
      <w:rFonts w:ascii="Book Antiqua" w:hAnsi="Book Antiqua" w:cs="Book Antiqua"/>
      <w:b/>
      <w:bCs/>
      <w:color w:val="000000"/>
      <w:sz w:val="34"/>
      <w:szCs w:val="34"/>
      <w:rtl/>
      <w:cs/>
    </w:rPr>
  </w:style>
  <w:style w:type="character" w:customStyle="1" w:styleId="199">
    <w:name w:val="Font Style58"/>
    <w:qFormat/>
    <w:uiPriority w:val="99"/>
    <w:rPr>
      <w:rFonts w:ascii="Book Antiqua" w:hAnsi="Book Antiqua" w:cs="Book Antiqua"/>
      <w:color w:val="000000"/>
      <w:spacing w:val="20"/>
      <w:sz w:val="16"/>
      <w:szCs w:val="16"/>
      <w:rtl/>
      <w:cs/>
    </w:rPr>
  </w:style>
  <w:style w:type="character" w:customStyle="1" w:styleId="200">
    <w:name w:val="Font Style61"/>
    <w:qFormat/>
    <w:uiPriority w:val="99"/>
    <w:rPr>
      <w:rFonts w:ascii="Book Antiqua" w:hAnsi="Book Antiqua" w:cs="Book Antiqua"/>
      <w:color w:val="000000"/>
      <w:sz w:val="16"/>
      <w:szCs w:val="16"/>
      <w:rtl/>
      <w:cs/>
    </w:rPr>
  </w:style>
  <w:style w:type="character" w:customStyle="1" w:styleId="201">
    <w:name w:val="Font Style67"/>
    <w:qFormat/>
    <w:uiPriority w:val="99"/>
    <w:rPr>
      <w:rFonts w:ascii="Aharoni" w:cs="Aharoni"/>
      <w:i/>
      <w:iCs/>
      <w:smallCaps/>
      <w:color w:val="000000"/>
      <w:sz w:val="8"/>
      <w:szCs w:val="8"/>
      <w:rtl/>
      <w:cs/>
      <w:lang w:bidi="he-IL"/>
    </w:rPr>
  </w:style>
  <w:style w:type="character" w:customStyle="1" w:styleId="202">
    <w:name w:val="Font Style68"/>
    <w:uiPriority w:val="99"/>
    <w:rPr>
      <w:rFonts w:ascii="Book Antiqua" w:hAnsi="Book Antiqua" w:cs="Book Antiqua"/>
      <w:color w:val="000000"/>
      <w:sz w:val="10"/>
      <w:szCs w:val="10"/>
      <w:rtl/>
      <w:cs/>
    </w:rPr>
  </w:style>
  <w:style w:type="character" w:customStyle="1" w:styleId="203">
    <w:name w:val="Font Style69"/>
    <w:qFormat/>
    <w:uiPriority w:val="99"/>
    <w:rPr>
      <w:rFonts w:ascii="Gungsuh" w:eastAsia="Gungsuh" w:cs="Gungsuh"/>
      <w:color w:val="000000"/>
      <w:sz w:val="8"/>
      <w:szCs w:val="8"/>
      <w:rtl/>
      <w:cs/>
    </w:rPr>
  </w:style>
  <w:style w:type="character" w:customStyle="1" w:styleId="204">
    <w:name w:val="Font Style70"/>
    <w:qFormat/>
    <w:uiPriority w:val="99"/>
    <w:rPr>
      <w:rFonts w:ascii="Aharoni" w:cs="Aharoni"/>
      <w:color w:val="000000"/>
      <w:sz w:val="12"/>
      <w:szCs w:val="12"/>
      <w:rtl/>
      <w:cs/>
      <w:lang w:bidi="he-IL"/>
    </w:rPr>
  </w:style>
  <w:style w:type="character" w:customStyle="1" w:styleId="205">
    <w:name w:val="Font Style75"/>
    <w:qFormat/>
    <w:uiPriority w:val="99"/>
    <w:rPr>
      <w:rFonts w:ascii="Book Antiqua" w:hAnsi="Book Antiqua" w:cs="Book Antiqua"/>
      <w:b/>
      <w:bCs/>
      <w:color w:val="000000"/>
      <w:spacing w:val="10"/>
      <w:sz w:val="16"/>
      <w:szCs w:val="16"/>
      <w:rtl/>
      <w:cs/>
    </w:rPr>
  </w:style>
  <w:style w:type="character" w:customStyle="1" w:styleId="206">
    <w:name w:val="Font Style76"/>
    <w:qFormat/>
    <w:uiPriority w:val="99"/>
    <w:rPr>
      <w:rFonts w:ascii="Book Antiqua" w:hAnsi="Book Antiqua" w:cs="Book Antiqua"/>
      <w:b/>
      <w:bCs/>
      <w:color w:val="000000"/>
      <w:sz w:val="30"/>
      <w:szCs w:val="30"/>
      <w:rtl/>
      <w:cs/>
    </w:rPr>
  </w:style>
  <w:style w:type="character" w:customStyle="1" w:styleId="207">
    <w:name w:val="Font Style77"/>
    <w:qFormat/>
    <w:uiPriority w:val="99"/>
    <w:rPr>
      <w:rFonts w:ascii="Book Antiqua" w:hAnsi="Book Antiqua" w:cs="Book Antiqua"/>
      <w:color w:val="000000"/>
      <w:sz w:val="20"/>
      <w:szCs w:val="20"/>
      <w:rtl/>
      <w:cs/>
    </w:rPr>
  </w:style>
  <w:style w:type="character" w:customStyle="1" w:styleId="208">
    <w:name w:val="Font Style78"/>
    <w:qFormat/>
    <w:uiPriority w:val="99"/>
    <w:rPr>
      <w:rFonts w:ascii="Book Antiqua" w:hAnsi="Book Antiqua" w:cs="Book Antiqua"/>
      <w:i/>
      <w:iCs/>
      <w:color w:val="000000"/>
      <w:sz w:val="20"/>
      <w:szCs w:val="20"/>
      <w:rtl/>
      <w:cs/>
    </w:rPr>
  </w:style>
  <w:style w:type="character" w:customStyle="1" w:styleId="209">
    <w:name w:val="Font Style79"/>
    <w:qFormat/>
    <w:uiPriority w:val="99"/>
    <w:rPr>
      <w:rFonts w:ascii="Book Antiqua" w:hAnsi="Book Antiqua" w:cs="Book Antiqua"/>
      <w:b/>
      <w:bCs/>
      <w:color w:val="000000"/>
      <w:sz w:val="20"/>
      <w:szCs w:val="20"/>
      <w:rtl/>
      <w:cs/>
    </w:rPr>
  </w:style>
  <w:style w:type="table" w:customStyle="1" w:styleId="210">
    <w:name w:val="Сетка таблицы1"/>
    <w:basedOn w:val="9"/>
    <w:qFormat/>
    <w:uiPriority w:val="59"/>
    <w:rPr>
      <w:rFonts w:ascii="Book Antiqua"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le Normal1"/>
    <w:unhideWhenUsed/>
    <w:qFormat/>
    <w:uiPriority w:val="2"/>
    <w:pPr>
      <w:widowControl w:val="0"/>
      <w:autoSpaceDE w:val="0"/>
      <w:autoSpaceDN w:val="0"/>
    </w:pPr>
    <w:rPr>
      <w:rFonts w:ascii="Calibri" w:hAnsi="Calibri" w:eastAsia="Calibri"/>
      <w:sz w:val="22"/>
      <w:szCs w:val="22"/>
      <w:lang w:val="en-US" w:eastAsia="en-US" w:bidi="ar-SA"/>
    </w:rPr>
    <w:tblPr>
      <w:tblCellMar>
        <w:top w:w="0" w:type="dxa"/>
        <w:left w:w="0" w:type="dxa"/>
        <w:bottom w:w="0" w:type="dxa"/>
        <w:right w:w="0" w:type="dxa"/>
      </w:tblCellMar>
    </w:tblPr>
  </w:style>
  <w:style w:type="paragraph" w:customStyle="1" w:styleId="212">
    <w:name w:val="Заголовок"/>
    <w:basedOn w:val="1"/>
    <w:link w:val="213"/>
    <w:qFormat/>
    <w:uiPriority w:val="1"/>
    <w:pPr>
      <w:adjustRightInd/>
      <w:spacing w:before="138"/>
      <w:ind w:left="1326" w:right="101" w:firstLine="673"/>
    </w:pPr>
    <w:rPr>
      <w:rFonts w:ascii="Cambria" w:hAnsi="Cambria" w:eastAsia="Cambria" w:cs="Cambria"/>
      <w:b/>
      <w:bCs/>
      <w:sz w:val="48"/>
      <w:szCs w:val="48"/>
      <w:lang w:val="en-US" w:eastAsia="en-US"/>
    </w:rPr>
  </w:style>
  <w:style w:type="character" w:customStyle="1" w:styleId="213">
    <w:name w:val="Заголовок Знак"/>
    <w:link w:val="212"/>
    <w:qFormat/>
    <w:locked/>
    <w:uiPriority w:val="1"/>
    <w:rPr>
      <w:rFonts w:ascii="Cambria" w:hAnsi="Cambria" w:eastAsia="Cambria" w:cs="Cambria"/>
      <w:b/>
      <w:bCs/>
      <w:sz w:val="48"/>
      <w:szCs w:val="48"/>
      <w:lang w:val="en-US" w:eastAsia="en-US"/>
    </w:rPr>
  </w:style>
  <w:style w:type="paragraph" w:styleId="214">
    <w:name w:val="List Paragraph"/>
    <w:basedOn w:val="1"/>
    <w:qFormat/>
    <w:uiPriority w:val="1"/>
    <w:pPr>
      <w:adjustRightInd/>
      <w:ind w:left="2951" w:hanging="766"/>
    </w:pPr>
    <w:rPr>
      <w:rFonts w:ascii="Cambria" w:hAnsi="Cambria" w:eastAsia="Cambria" w:cs="Cambria"/>
      <w:sz w:val="22"/>
      <w:szCs w:val="22"/>
      <w:lang w:val="en-US" w:eastAsia="en-US"/>
    </w:rPr>
  </w:style>
  <w:style w:type="character" w:customStyle="1" w:styleId="215">
    <w:name w:val="Font Style12"/>
    <w:qFormat/>
    <w:uiPriority w:val="99"/>
    <w:rPr>
      <w:rFonts w:ascii="Candara" w:hAnsi="Candara" w:cs="Candara"/>
      <w:b/>
      <w:bCs/>
      <w:color w:val="000000"/>
      <w:sz w:val="32"/>
      <w:szCs w:val="32"/>
    </w:rPr>
  </w:style>
  <w:style w:type="character" w:customStyle="1" w:styleId="216">
    <w:name w:val="Font Style11"/>
    <w:qFormat/>
    <w:uiPriority w:val="99"/>
    <w:rPr>
      <w:rFonts w:ascii="Palatino Linotype" w:hAnsi="Palatino Linotype" w:cs="Palatino Linotype"/>
      <w:b/>
      <w:bCs/>
      <w:color w:val="000000"/>
      <w:sz w:val="16"/>
      <w:szCs w:val="16"/>
    </w:rPr>
  </w:style>
  <w:style w:type="character" w:customStyle="1" w:styleId="217">
    <w:name w:val="Font Style13"/>
    <w:qFormat/>
    <w:uiPriority w:val="99"/>
    <w:rPr>
      <w:rFonts w:ascii="Palatino Linotype" w:hAnsi="Palatino Linotype" w:cs="Palatino Linotype"/>
      <w:b/>
      <w:bCs/>
      <w:color w:val="000000"/>
      <w:sz w:val="20"/>
      <w:szCs w:val="20"/>
    </w:rPr>
  </w:style>
  <w:style w:type="character" w:customStyle="1" w:styleId="218">
    <w:name w:val="Font Style105"/>
    <w:uiPriority w:val="99"/>
    <w:rPr>
      <w:rFonts w:ascii="Angsana New" w:hAnsi="Angsana New" w:cs="Angsana New"/>
      <w:b/>
      <w:bCs/>
      <w:color w:val="000000"/>
      <w:sz w:val="48"/>
      <w:szCs w:val="48"/>
      <w:rtl/>
      <w:cs/>
    </w:rPr>
  </w:style>
  <w:style w:type="character" w:customStyle="1" w:styleId="219">
    <w:name w:val="Font Style166"/>
    <w:qFormat/>
    <w:uiPriority w:val="99"/>
    <w:rPr>
      <w:rFonts w:ascii="Book Antiqua" w:hAnsi="Book Antiqua" w:cs="Book Antiqua"/>
      <w:b/>
      <w:bCs/>
      <w:color w:val="000000"/>
      <w:sz w:val="30"/>
      <w:szCs w:val="30"/>
    </w:rPr>
  </w:style>
  <w:style w:type="character" w:customStyle="1" w:styleId="220">
    <w:name w:val="A5"/>
    <w:qFormat/>
    <w:uiPriority w:val="99"/>
    <w:rPr>
      <w:rFonts w:cs="Cambria"/>
      <w:color w:val="000000"/>
      <w:sz w:val="18"/>
      <w:szCs w:val="18"/>
    </w:rPr>
  </w:style>
  <w:style w:type="paragraph" w:customStyle="1" w:styleId="221">
    <w:name w:val="Pa1"/>
    <w:basedOn w:val="44"/>
    <w:next w:val="44"/>
    <w:qFormat/>
    <w:uiPriority w:val="99"/>
    <w:pPr>
      <w:widowControl/>
      <w:spacing w:line="221" w:lineRule="atLeast"/>
    </w:pPr>
    <w:rPr>
      <w:rFonts w:ascii="Cambria" w:hAnsi="Cambria" w:eastAsia="Calibri" w:cs="Times New Roman"/>
      <w:color w:val="auto"/>
      <w:lang w:eastAsia="en-US"/>
    </w:rPr>
  </w:style>
  <w:style w:type="paragraph" w:customStyle="1" w:styleId="222">
    <w:name w:val="Table text (9)"/>
    <w:qFormat/>
    <w:uiPriority w:val="0"/>
    <w:pPr>
      <w:spacing w:before="60" w:after="60" w:line="210" w:lineRule="atLeast"/>
      <w:jc w:val="both"/>
    </w:pPr>
    <w:rPr>
      <w:rFonts w:ascii="Arial" w:hAnsi="Arial" w:eastAsia="SimSun" w:cs="Times New Roman"/>
      <w:sz w:val="18"/>
      <w:lang w:val="en-GB" w:eastAsia="ja-JP" w:bidi="ar-SA"/>
    </w:rPr>
  </w:style>
  <w:style w:type="paragraph" w:customStyle="1" w:styleId="223">
    <w:name w:val="Note"/>
    <w:next w:val="1"/>
    <w:qFormat/>
    <w:uiPriority w:val="0"/>
    <w:pPr>
      <w:tabs>
        <w:tab w:val="left" w:pos="960"/>
      </w:tabs>
      <w:spacing w:after="240" w:line="210" w:lineRule="atLeast"/>
      <w:jc w:val="both"/>
    </w:pPr>
    <w:rPr>
      <w:rFonts w:ascii="Arial" w:hAnsi="Arial" w:eastAsia="SimSun" w:cs="Times New Roman"/>
      <w:sz w:val="18"/>
      <w:lang w:val="en-GB" w:eastAsia="ja-JP" w:bidi="ar-SA"/>
    </w:rPr>
  </w:style>
  <w:style w:type="paragraph" w:customStyle="1" w:styleId="224">
    <w:name w:val="Contenu de tableau"/>
    <w:basedOn w:val="1"/>
    <w:qFormat/>
    <w:uiPriority w:val="0"/>
    <w:pPr>
      <w:widowControl w:val="0"/>
      <w:suppressLineNumbers/>
      <w:suppressAutoHyphens/>
      <w:spacing w:after="0" w:line="240" w:lineRule="auto"/>
      <w:jc w:val="left"/>
    </w:pPr>
    <w:rPr>
      <w:rFonts w:ascii="Liberation Sans" w:hAnsi="Liberation Sans" w:eastAsia="SimSun" w:cs="Mangal"/>
      <w:kern w:val="1"/>
      <w:sz w:val="24"/>
      <w:szCs w:val="24"/>
      <w:lang w:val="en-GB" w:eastAsia="hi-IN" w:bidi="hi-IN"/>
    </w:rPr>
  </w:style>
  <w:style w:type="paragraph" w:customStyle="1" w:styleId="225">
    <w:name w:val="Table body"/>
    <w:basedOn w:val="226"/>
    <w:uiPriority w:val="0"/>
    <w:pPr>
      <w:spacing w:before="60" w:after="60" w:line="210" w:lineRule="atLeast"/>
      <w:jc w:val="left"/>
    </w:pPr>
  </w:style>
  <w:style w:type="paragraph" w:customStyle="1" w:styleId="226">
    <w:name w:val="Base_Text"/>
    <w:uiPriority w:val="0"/>
    <w:pPr>
      <w:spacing w:after="240" w:line="240" w:lineRule="atLeast"/>
      <w:jc w:val="both"/>
    </w:pPr>
    <w:rPr>
      <w:rFonts w:ascii="Arial" w:hAnsi="Arial" w:eastAsia="Calibri" w:cs="Times New Roman"/>
      <w:szCs w:val="22"/>
      <w:lang w:val="en-GB" w:eastAsia="en-US" w:bidi="ar-SA"/>
    </w:rPr>
  </w:style>
  <w:style w:type="character" w:customStyle="1" w:styleId="227">
    <w:name w:val="CCMCvariable_italic"/>
    <w:uiPriority w:val="1"/>
    <w:rPr>
      <w:rFonts w:ascii="Times New Roman" w:hAnsi="Times New Roman"/>
      <w:i/>
    </w:rPr>
  </w:style>
  <w:style w:type="character" w:customStyle="1" w:styleId="228">
    <w:name w:val="CCMCvariable_italic_subscript"/>
    <w:uiPriority w:val="1"/>
    <w:rPr>
      <w:rFonts w:ascii="Times New Roman" w:hAnsi="Times New Roman"/>
      <w:i/>
      <w:vertAlign w:val="subscript"/>
    </w:rPr>
  </w:style>
  <w:style w:type="character" w:customStyle="1" w:styleId="229">
    <w:name w:val="CCMCvariable"/>
    <w:uiPriority w:val="0"/>
    <w:rPr>
      <w:rFonts w:ascii="Times New Roman" w:hAnsi="Times New Roman"/>
    </w:rPr>
  </w:style>
  <w:style w:type="character" w:customStyle="1" w:styleId="230">
    <w:name w:val="CCMCvariable_subscript"/>
    <w:uiPriority w:val="1"/>
    <w:rPr>
      <w:rFonts w:ascii="Times New Roman" w:hAnsi="Times New Roman"/>
      <w:vertAlign w:val="subscript"/>
    </w:rPr>
  </w:style>
  <w:style w:type="paragraph" w:customStyle="1" w:styleId="231">
    <w:name w:val="Table text (10)"/>
    <w:basedOn w:val="1"/>
    <w:uiPriority w:val="0"/>
    <w:pPr>
      <w:spacing w:before="60" w:after="6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Организация</Company>
  <Pages>105</Pages>
  <Words>38189</Words>
  <Characters>217683</Characters>
  <Lines>1814</Lines>
  <Paragraphs>510</Paragraphs>
  <TotalTime>12</TotalTime>
  <ScaleCrop>false</ScaleCrop>
  <LinksUpToDate>false</LinksUpToDate>
  <CharactersWithSpaces>255362</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2017-03-01T06:35:00Z</dcterms:created>
  <dc:creator>Customer</dc:creator>
  <cp:lastModifiedBy>Dell</cp:lastModifiedBy>
  <cp:lastPrinted>2022-02-22T04:54:00Z</cp:lastPrinted>
  <dcterms:modified xsi:type="dcterms:W3CDTF">2022-05-22T10:19:44Z</dcterms:modified>
  <dc:title>Проект</dc:title>
  <cp:revision>3990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C36FF7672D594FB091E6B07FE5455A51</vt:lpwstr>
  </property>
</Properties>
</file>